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588D" w:rsidRDefault="00996A4E" w:rsidP="00996A4E">
      <w:pPr>
        <w:bidi/>
        <w:jc w:val="both"/>
        <w:rPr>
          <w:rFonts w:cs="Arial"/>
          <w:color w:val="3C3C35"/>
          <w:sz w:val="28"/>
          <w:szCs w:val="28"/>
          <w:rtl/>
          <w:lang w:eastAsia="ar"/>
        </w:rPr>
      </w:pPr>
      <w:r w:rsidRPr="00996A4E">
        <w:rPr>
          <w:rFonts w:cs="Arial"/>
          <w:color w:val="3C3C35"/>
          <w:sz w:val="28"/>
          <w:szCs w:val="28"/>
          <w:rtl/>
          <w:lang w:eastAsia="ar"/>
        </w:rPr>
        <w:t xml:space="preserve">الاستعداد لتنظير القولون (بيكوبريب </w:t>
      </w:r>
      <w:r w:rsidRPr="00996A4E">
        <w:rPr>
          <w:rFonts w:cs="Arial"/>
          <w:color w:val="3C3C35"/>
          <w:sz w:val="28"/>
          <w:szCs w:val="28"/>
          <w:lang w:eastAsia="ar"/>
        </w:rPr>
        <w:t>Picoprep</w:t>
      </w:r>
      <w:r w:rsidRPr="00996A4E">
        <w:rPr>
          <w:rFonts w:cs="Arial"/>
          <w:color w:val="3C3C35"/>
          <w:sz w:val="28"/>
          <w:szCs w:val="28"/>
          <w:rtl/>
          <w:lang w:eastAsia="ar"/>
        </w:rPr>
        <w:t>)</w:t>
      </w:r>
      <w:bookmarkStart w:id="0" w:name="_GoBack"/>
      <w:bookmarkEnd w:id="0"/>
    </w:p>
    <w:p w:rsidR="0037588D" w:rsidRPr="00F70991" w:rsidRDefault="0037588D" w:rsidP="00F70991">
      <w:pPr>
        <w:pStyle w:val="Otsikko2"/>
        <w:bidi/>
        <w:jc w:val="both"/>
        <w:rPr>
          <w:sz w:val="24"/>
          <w:szCs w:val="24"/>
        </w:rPr>
      </w:pPr>
      <w:r w:rsidRPr="00F70991">
        <w:rPr>
          <w:sz w:val="24"/>
          <w:szCs w:val="24"/>
          <w:rtl/>
          <w:lang w:eastAsia="ar"/>
        </w:rPr>
        <w:t>التحضير والاستعداد</w:t>
      </w:r>
    </w:p>
    <w:p w:rsidR="0037588D" w:rsidRPr="00F70991" w:rsidRDefault="0037588D" w:rsidP="00F70991">
      <w:pPr>
        <w:bidi/>
        <w:ind w:left="1304"/>
        <w:jc w:val="both"/>
        <w:rPr>
          <w:sz w:val="24"/>
          <w:szCs w:val="24"/>
        </w:rPr>
      </w:pPr>
      <w:r w:rsidRPr="00F70991">
        <w:rPr>
          <w:sz w:val="24"/>
          <w:szCs w:val="24"/>
          <w:rtl/>
          <w:lang w:eastAsia="ar"/>
        </w:rPr>
        <w:t>إذا كُنت تُعاني من الإمساك، فإبداء قبل أربعة أيام من الفحص بالمنظار باستخدام دواء الإمساك. لا تأكل لمدة أربعة أيام قبل الفحص أطعمة تحتوي على البذور (التوتيات والفواكه والخضروات وخبز الحبوب الكاملة). أوقف أيضًا استخدام دواء الحديد المُحتمل مُؤقتًا.</w:t>
      </w:r>
    </w:p>
    <w:p w:rsidR="0037588D" w:rsidRPr="00F70991" w:rsidRDefault="0037588D" w:rsidP="00F70991">
      <w:pPr>
        <w:bidi/>
        <w:ind w:left="1304"/>
        <w:jc w:val="both"/>
        <w:rPr>
          <w:sz w:val="24"/>
          <w:szCs w:val="24"/>
        </w:rPr>
      </w:pPr>
    </w:p>
    <w:p w:rsidR="0037588D" w:rsidRPr="00F70991" w:rsidRDefault="0037588D" w:rsidP="00F70991">
      <w:pPr>
        <w:bidi/>
        <w:ind w:left="1304"/>
        <w:jc w:val="both"/>
        <w:rPr>
          <w:sz w:val="24"/>
          <w:szCs w:val="24"/>
        </w:rPr>
      </w:pPr>
      <w:r w:rsidRPr="00F70991">
        <w:rPr>
          <w:sz w:val="24"/>
          <w:szCs w:val="24"/>
          <w:rtl/>
          <w:lang w:eastAsia="ar"/>
        </w:rPr>
        <w:t>تحتاج إلى كيسين من مسحوق ببيكوبريب للتفريغ.</w:t>
      </w:r>
    </w:p>
    <w:p w:rsidR="0037588D" w:rsidRPr="00F70991" w:rsidRDefault="0037588D" w:rsidP="00F70991">
      <w:pPr>
        <w:bidi/>
        <w:ind w:left="1304"/>
        <w:jc w:val="both"/>
        <w:rPr>
          <w:sz w:val="24"/>
          <w:szCs w:val="24"/>
        </w:rPr>
      </w:pPr>
    </w:p>
    <w:p w:rsidR="0037588D" w:rsidRPr="00F70991" w:rsidRDefault="0037588D" w:rsidP="00F70991">
      <w:pPr>
        <w:bidi/>
        <w:ind w:left="1304"/>
        <w:jc w:val="both"/>
        <w:rPr>
          <w:sz w:val="24"/>
          <w:szCs w:val="24"/>
        </w:rPr>
      </w:pPr>
      <w:r w:rsidRPr="00F70991">
        <w:rPr>
          <w:sz w:val="24"/>
          <w:szCs w:val="24"/>
          <w:rtl/>
          <w:lang w:eastAsia="ar"/>
        </w:rPr>
        <w:t>بإمكانك الحصول على مواد التفريغ مجانًا أيام العمل الرسمية من وحدة فحص المنظار التي تتبع لها (خذ هذه الإرشادات معك، عندما تطلب مواد التفريغ) أو بإمكانك أيضًا شراء مواد التفريغ وأن تدفع تكاليفها بنفسك من الصيدلية بدون وصفة طبيب.</w:t>
      </w:r>
    </w:p>
    <w:p w:rsidR="0037588D" w:rsidRPr="00F70991" w:rsidRDefault="0037588D" w:rsidP="00F70991">
      <w:pPr>
        <w:bidi/>
        <w:ind w:left="1304"/>
        <w:jc w:val="both"/>
        <w:rPr>
          <w:sz w:val="24"/>
          <w:szCs w:val="24"/>
        </w:rPr>
      </w:pPr>
    </w:p>
    <w:p w:rsidR="0037588D" w:rsidRPr="00F70991" w:rsidRDefault="0037588D" w:rsidP="00F70991">
      <w:pPr>
        <w:pStyle w:val="Otsikko2"/>
        <w:bidi/>
        <w:jc w:val="both"/>
        <w:rPr>
          <w:sz w:val="24"/>
          <w:szCs w:val="24"/>
        </w:rPr>
      </w:pPr>
      <w:r w:rsidRPr="00F70991">
        <w:rPr>
          <w:sz w:val="24"/>
          <w:szCs w:val="24"/>
          <w:rtl/>
          <w:lang w:eastAsia="ar"/>
        </w:rPr>
        <w:t>خلال اليوم الذي يسبق الفحص</w:t>
      </w:r>
    </w:p>
    <w:p w:rsidR="0037588D" w:rsidRPr="00F70991" w:rsidRDefault="0037588D" w:rsidP="00F70991">
      <w:pPr>
        <w:bidi/>
        <w:ind w:left="1304"/>
        <w:jc w:val="both"/>
        <w:rPr>
          <w:rFonts w:cs="Arial"/>
          <w:sz w:val="24"/>
          <w:szCs w:val="24"/>
        </w:rPr>
      </w:pPr>
      <w:r w:rsidRPr="00F70991">
        <w:rPr>
          <w:sz w:val="24"/>
          <w:szCs w:val="24"/>
          <w:rtl/>
          <w:lang w:eastAsia="ar"/>
        </w:rPr>
        <w:t>بإمكانك صباحًا تناول طعام إفطار خفيف. تناول طعام غداء من الحساء خفيف تقريبًا الساعة 12 - 14، واشرب بعد ذلك فقط سوائل التفريغ وسوائل صافية (الماء أو العصير أو المشروبات الغازية أو مشروبات المكملات الغذائية الصافية أو مرق اللحم أو القهوة/الشاي بدون حليب أو ما شابه ذلك). لا يجوز بعد بدء التفريع تناول طعامًا يابسًا.</w:t>
      </w:r>
    </w:p>
    <w:p w:rsidR="0037588D" w:rsidRPr="00F70991" w:rsidRDefault="0037588D" w:rsidP="00F70991">
      <w:pPr>
        <w:pStyle w:val="Otsikko2"/>
        <w:bidi/>
        <w:jc w:val="both"/>
        <w:rPr>
          <w:sz w:val="24"/>
          <w:szCs w:val="24"/>
        </w:rPr>
      </w:pPr>
      <w:r w:rsidRPr="00F70991">
        <w:rPr>
          <w:sz w:val="24"/>
          <w:szCs w:val="24"/>
          <w:rtl/>
          <w:lang w:eastAsia="ar"/>
        </w:rPr>
        <w:t>التفريغ</w:t>
      </w:r>
    </w:p>
    <w:p w:rsidR="0037588D" w:rsidRPr="00F70991" w:rsidRDefault="0037588D" w:rsidP="00F70991">
      <w:pPr>
        <w:bidi/>
        <w:ind w:left="1304"/>
        <w:jc w:val="both"/>
        <w:rPr>
          <w:sz w:val="24"/>
          <w:szCs w:val="24"/>
        </w:rPr>
      </w:pPr>
      <w:r w:rsidRPr="00F70991">
        <w:rPr>
          <w:sz w:val="24"/>
          <w:szCs w:val="24"/>
          <w:rtl/>
          <w:lang w:eastAsia="ar"/>
        </w:rPr>
        <w:t>الجرعة الأولى (1) في اليوم الذي يسبق الفحص الساعة 16 - 18.</w:t>
      </w:r>
    </w:p>
    <w:p w:rsidR="0037588D" w:rsidRPr="00F70991" w:rsidRDefault="0037588D" w:rsidP="00F70991">
      <w:pPr>
        <w:numPr>
          <w:ilvl w:val="0"/>
          <w:numId w:val="6"/>
        </w:numPr>
        <w:bidi/>
        <w:jc w:val="both"/>
        <w:rPr>
          <w:sz w:val="24"/>
          <w:szCs w:val="24"/>
        </w:rPr>
      </w:pPr>
      <w:r w:rsidRPr="00F70991">
        <w:rPr>
          <w:sz w:val="24"/>
          <w:szCs w:val="24"/>
          <w:rtl/>
          <w:lang w:eastAsia="ar"/>
        </w:rPr>
        <w:t>أفرغ كيس واحد في كوب من الماء.</w:t>
      </w:r>
    </w:p>
    <w:p w:rsidR="0037588D" w:rsidRPr="00F70991" w:rsidRDefault="0037588D" w:rsidP="00F70991">
      <w:pPr>
        <w:numPr>
          <w:ilvl w:val="0"/>
          <w:numId w:val="6"/>
        </w:numPr>
        <w:bidi/>
        <w:jc w:val="both"/>
        <w:rPr>
          <w:sz w:val="24"/>
          <w:szCs w:val="24"/>
        </w:rPr>
      </w:pPr>
      <w:r w:rsidRPr="00F70991">
        <w:rPr>
          <w:sz w:val="24"/>
          <w:szCs w:val="24"/>
          <w:rtl/>
          <w:lang w:eastAsia="ar"/>
        </w:rPr>
        <w:t>اخلط المسحوق بحرص لمدة 2 - 3 دقائق قبل أن تشرب المحلول.</w:t>
      </w:r>
    </w:p>
    <w:p w:rsidR="0037588D" w:rsidRPr="00F70991" w:rsidRDefault="0037588D" w:rsidP="00F70991">
      <w:pPr>
        <w:numPr>
          <w:ilvl w:val="0"/>
          <w:numId w:val="6"/>
        </w:numPr>
        <w:bidi/>
        <w:jc w:val="both"/>
        <w:rPr>
          <w:sz w:val="24"/>
          <w:szCs w:val="24"/>
        </w:rPr>
      </w:pPr>
      <w:r w:rsidRPr="00F70991">
        <w:rPr>
          <w:sz w:val="24"/>
          <w:szCs w:val="24"/>
          <w:rtl/>
          <w:lang w:eastAsia="ar"/>
        </w:rPr>
        <w:t>انتظر بعد شرب سائل التفريغ لمدة نصف ساعة قبل أن تشرب أي سوائل إضافية، حتى لا يُصبح تأثير المادة المُفرغّة مُخففًا.  اشرب بعد ذلك خلال فترة المساء سوائل أخرى كحد أدنى ثلاث لترات، تقريبًا لتر واحد من السوائل في الساعة.</w:t>
      </w:r>
    </w:p>
    <w:p w:rsidR="0037588D" w:rsidRPr="00F70991" w:rsidRDefault="0037588D" w:rsidP="00F70991">
      <w:pPr>
        <w:bidi/>
        <w:ind w:left="1304"/>
        <w:jc w:val="both"/>
        <w:rPr>
          <w:sz w:val="24"/>
          <w:szCs w:val="24"/>
        </w:rPr>
      </w:pPr>
    </w:p>
    <w:p w:rsidR="0037588D" w:rsidRPr="00F70991" w:rsidRDefault="0037588D" w:rsidP="00F70991">
      <w:pPr>
        <w:bidi/>
        <w:ind w:left="1304"/>
        <w:jc w:val="both"/>
        <w:rPr>
          <w:sz w:val="24"/>
          <w:szCs w:val="24"/>
        </w:rPr>
      </w:pPr>
      <w:r w:rsidRPr="00F70991">
        <w:rPr>
          <w:sz w:val="24"/>
          <w:szCs w:val="24"/>
          <w:rtl/>
          <w:lang w:eastAsia="ar"/>
        </w:rPr>
        <w:t>الجرعة الثانية (2) يوم الفحص قبل 2 - 3 ساعات من إجراء الفحص.</w:t>
      </w:r>
    </w:p>
    <w:p w:rsidR="0037588D" w:rsidRPr="00F70991" w:rsidRDefault="0037588D" w:rsidP="00F70991">
      <w:pPr>
        <w:numPr>
          <w:ilvl w:val="0"/>
          <w:numId w:val="7"/>
        </w:numPr>
        <w:bidi/>
        <w:jc w:val="both"/>
        <w:rPr>
          <w:sz w:val="24"/>
          <w:szCs w:val="24"/>
        </w:rPr>
      </w:pPr>
      <w:r w:rsidRPr="00F70991">
        <w:rPr>
          <w:sz w:val="24"/>
          <w:szCs w:val="24"/>
          <w:rtl/>
          <w:lang w:eastAsia="ar"/>
        </w:rPr>
        <w:t>أفرغ آخر كيس في كوب من الماء.</w:t>
      </w:r>
    </w:p>
    <w:p w:rsidR="0037588D" w:rsidRPr="00F70991" w:rsidRDefault="0037588D" w:rsidP="00F70991">
      <w:pPr>
        <w:numPr>
          <w:ilvl w:val="0"/>
          <w:numId w:val="7"/>
        </w:numPr>
        <w:bidi/>
        <w:jc w:val="both"/>
        <w:rPr>
          <w:sz w:val="24"/>
          <w:szCs w:val="24"/>
        </w:rPr>
      </w:pPr>
      <w:r w:rsidRPr="00F70991">
        <w:rPr>
          <w:sz w:val="24"/>
          <w:szCs w:val="24"/>
          <w:rtl/>
          <w:lang w:eastAsia="ar"/>
        </w:rPr>
        <w:t>اخلط المسحوق بحرص لمدة 2 - 3 دقائق قبل أن تشرب المحلول. انتظر من جديد لمدة نصف ساعة قبل أن تشرب سوائل إضافية، كي لا يُصبح تأثير المادة المُفرغّة مُخففًا. اشرب بعد ذلك ثلاث لترات من السوائل الصافية. بذلك يكون بإمكانك التأثير بشكل أساسي على حالك وتحسين نتيجة التفريغ.</w:t>
      </w:r>
    </w:p>
    <w:p w:rsidR="0037588D" w:rsidRPr="00F70991" w:rsidRDefault="0037588D" w:rsidP="00F70991">
      <w:pPr>
        <w:bidi/>
        <w:ind w:left="1304"/>
        <w:jc w:val="both"/>
        <w:rPr>
          <w:sz w:val="24"/>
          <w:szCs w:val="24"/>
        </w:rPr>
      </w:pPr>
    </w:p>
    <w:p w:rsidR="0037588D" w:rsidRPr="00F70991" w:rsidRDefault="0037588D" w:rsidP="00F70991">
      <w:pPr>
        <w:bidi/>
        <w:ind w:left="1304"/>
        <w:jc w:val="both"/>
        <w:rPr>
          <w:sz w:val="24"/>
          <w:szCs w:val="24"/>
        </w:rPr>
      </w:pPr>
      <w:r w:rsidRPr="00F70991">
        <w:rPr>
          <w:sz w:val="24"/>
          <w:szCs w:val="24"/>
          <w:rtl/>
          <w:lang w:eastAsia="ar"/>
        </w:rPr>
        <w:t>خُذ بعين الاعتبار أن مُجرد شُرب بيكوبريب (</w:t>
      </w:r>
      <w:r w:rsidRPr="00F70991">
        <w:rPr>
          <w:sz w:val="24"/>
          <w:szCs w:val="24"/>
          <w:lang w:eastAsia="ar"/>
        </w:rPr>
        <w:t>Picoprep</w:t>
      </w:r>
      <w:r w:rsidRPr="00F70991">
        <w:rPr>
          <w:sz w:val="24"/>
          <w:szCs w:val="24"/>
          <w:rtl/>
          <w:lang w:eastAsia="ar"/>
        </w:rPr>
        <w:t>) لا يكفي لتفريغ الأمعاء. كلما شربت قدراً أكثر أثناء فترة التفريغ، كلما كانت النتيجة أفضل.</w:t>
      </w:r>
    </w:p>
    <w:p w:rsidR="0037588D" w:rsidRPr="00F70991" w:rsidRDefault="0037588D" w:rsidP="00F70991">
      <w:pPr>
        <w:bidi/>
        <w:ind w:left="1304"/>
        <w:jc w:val="both"/>
        <w:rPr>
          <w:sz w:val="24"/>
          <w:szCs w:val="24"/>
        </w:rPr>
      </w:pPr>
    </w:p>
    <w:p w:rsidR="0037588D" w:rsidRPr="00F70991" w:rsidRDefault="0037588D" w:rsidP="00F70991">
      <w:pPr>
        <w:bidi/>
        <w:ind w:left="1304"/>
        <w:jc w:val="both"/>
        <w:rPr>
          <w:sz w:val="24"/>
          <w:szCs w:val="24"/>
        </w:rPr>
      </w:pPr>
      <w:r w:rsidRPr="00F70991">
        <w:rPr>
          <w:sz w:val="24"/>
          <w:szCs w:val="24"/>
          <w:rtl/>
          <w:lang w:eastAsia="ar"/>
        </w:rPr>
        <w:t>بإمكانك تفعيل التفريغ من خلال خلط السوائل التي تشربها بـ 12 قطرة كوبلاتون (</w:t>
      </w:r>
      <w:r w:rsidRPr="00F70991">
        <w:rPr>
          <w:sz w:val="24"/>
          <w:szCs w:val="24"/>
          <w:lang w:eastAsia="ar"/>
        </w:rPr>
        <w:t>Cuplaton</w:t>
      </w:r>
      <w:r w:rsidRPr="00F70991">
        <w:rPr>
          <w:sz w:val="24"/>
          <w:szCs w:val="24"/>
          <w:rtl/>
          <w:lang w:eastAsia="ar"/>
        </w:rPr>
        <w:t xml:space="preserve">) أربع مرات في اليوم. من الممكن الحصول عليه من الصيدلية بدون وصفة طبيب. </w:t>
      </w:r>
    </w:p>
    <w:p w:rsidR="0037588D" w:rsidRPr="00F70991" w:rsidRDefault="0037588D" w:rsidP="00F70991">
      <w:pPr>
        <w:bidi/>
        <w:ind w:left="1304"/>
        <w:jc w:val="both"/>
        <w:rPr>
          <w:sz w:val="24"/>
          <w:szCs w:val="24"/>
        </w:rPr>
      </w:pPr>
    </w:p>
    <w:p w:rsidR="00FC5C0C" w:rsidRPr="00F70991" w:rsidRDefault="0037588D" w:rsidP="00F70991">
      <w:pPr>
        <w:bidi/>
        <w:ind w:left="1304"/>
        <w:jc w:val="both"/>
        <w:rPr>
          <w:sz w:val="24"/>
          <w:szCs w:val="24"/>
        </w:rPr>
      </w:pPr>
      <w:r w:rsidRPr="00F70991">
        <w:rPr>
          <w:sz w:val="24"/>
          <w:szCs w:val="24"/>
          <w:rtl/>
          <w:lang w:eastAsia="ar"/>
        </w:rPr>
        <w:t>ملاحظة! إذا كانت لديك حساسية لليمون، فيتوجب تغيير مادة التفريغ بأخرى.</w:t>
      </w:r>
    </w:p>
    <w:sectPr w:rsidR="00FC5C0C" w:rsidRPr="00F70991" w:rsidSect="00DA1BA9">
      <w:headerReference w:type="even" r:id="rId7"/>
      <w:headerReference w:type="default" r:id="rId8"/>
      <w:footerReference w:type="even" r:id="rId9"/>
      <w:footerReference w:type="default" r:id="rId10"/>
      <w:headerReference w:type="first" r:id="rId11"/>
      <w:footerReference w:type="first" r:id="rId12"/>
      <w:pgSz w:w="11906" w:h="16838" w:code="9"/>
      <w:pgMar w:top="2268" w:right="567" w:bottom="1134" w:left="1134" w:header="907" w:footer="39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7C69" w:rsidRDefault="006F7C69">
      <w:r>
        <w:separator/>
      </w:r>
    </w:p>
  </w:endnote>
  <w:endnote w:type="continuationSeparator" w:id="0">
    <w:p w:rsidR="006F7C69" w:rsidRDefault="006F7C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588D" w:rsidRDefault="0037588D">
    <w:pPr>
      <w:pStyle w:val="Alatunniste"/>
      <w:bid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bidiVisual/>
      <w:tblW w:w="9915" w:type="dxa"/>
      <w:tblInd w:w="8" w:type="dxa"/>
      <w:tblLayout w:type="fixed"/>
      <w:tblCellMar>
        <w:left w:w="0" w:type="dxa"/>
        <w:right w:w="0" w:type="dxa"/>
      </w:tblCellMar>
      <w:tblLook w:val="0000" w:firstRow="0" w:lastRow="0" w:firstColumn="0" w:lastColumn="0" w:noHBand="0" w:noVBand="0"/>
    </w:tblPr>
    <w:tblGrid>
      <w:gridCol w:w="9915"/>
    </w:tblGrid>
    <w:tr w:rsidR="00DD126F" w:rsidRPr="0037588D">
      <w:trPr>
        <w:cantSplit/>
      </w:trPr>
      <w:tc>
        <w:tcPr>
          <w:tcW w:w="9915" w:type="dxa"/>
        </w:tcPr>
        <w:p w:rsidR="00DD126F" w:rsidRPr="0037588D" w:rsidRDefault="00DD126F" w:rsidP="0037588D">
          <w:pPr>
            <w:pStyle w:val="Alatunniste"/>
            <w:bidi/>
            <w:jc w:val="center"/>
            <w:rPr>
              <w:rStyle w:val="zContactInfo"/>
            </w:rPr>
          </w:pPr>
        </w:p>
      </w:tc>
    </w:tr>
    <w:tr w:rsidR="00DD126F" w:rsidRPr="0037588D">
      <w:trPr>
        <w:cantSplit/>
      </w:trPr>
      <w:tc>
        <w:tcPr>
          <w:tcW w:w="9915" w:type="dxa"/>
        </w:tcPr>
        <w:p w:rsidR="00DD126F" w:rsidRPr="0037588D" w:rsidRDefault="00B96B4A" w:rsidP="0037588D">
          <w:pPr>
            <w:pStyle w:val="Alatunniste"/>
            <w:bidi/>
            <w:spacing w:before="60"/>
            <w:jc w:val="center"/>
            <w:rPr>
              <w:rStyle w:val="zContactInfo"/>
            </w:rPr>
          </w:pPr>
          <w:r w:rsidRPr="0037588D">
            <w:rPr>
              <w:rStyle w:val="zContactInfo"/>
              <w:b/>
              <w:bCs/>
              <w:rtl/>
              <w:lang w:eastAsia="ar"/>
            </w:rPr>
            <w:t xml:space="preserve"> </w:t>
          </w:r>
          <w:r w:rsidRPr="0037588D">
            <w:rPr>
              <w:rStyle w:val="zContactInfo"/>
              <w:b/>
              <w:bCs/>
              <w:lang w:eastAsia="ar" w:bidi="fi-FI"/>
            </w:rPr>
            <w:t>www.tays.fi</w:t>
          </w:r>
        </w:p>
      </w:tc>
    </w:tr>
  </w:tbl>
  <w:p w:rsidR="00DD126F" w:rsidRPr="0037588D" w:rsidRDefault="00DD126F" w:rsidP="0037588D">
    <w:pPr>
      <w:pStyle w:val="Alatunniste"/>
      <w:bidi/>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588D" w:rsidRDefault="0037588D">
    <w:pPr>
      <w:pStyle w:val="Alatunniste"/>
      <w:bid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7C69" w:rsidRDefault="006F7C69">
      <w:r>
        <w:separator/>
      </w:r>
    </w:p>
  </w:footnote>
  <w:footnote w:type="continuationSeparator" w:id="0">
    <w:p w:rsidR="006F7C69" w:rsidRDefault="006F7C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588D" w:rsidRDefault="0037588D">
    <w:pPr>
      <w:pStyle w:val="Yltunniste"/>
      <w:bid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bidiVisual/>
      <w:tblW w:w="10234" w:type="dxa"/>
      <w:tblLayout w:type="fixed"/>
      <w:tblCellMar>
        <w:left w:w="28" w:type="dxa"/>
        <w:right w:w="28" w:type="dxa"/>
      </w:tblCellMar>
      <w:tblLook w:val="0000" w:firstRow="0" w:lastRow="0" w:firstColumn="0" w:lastColumn="0" w:noHBand="0" w:noVBand="0"/>
    </w:tblPr>
    <w:tblGrid>
      <w:gridCol w:w="5557"/>
      <w:gridCol w:w="1842"/>
      <w:gridCol w:w="1560"/>
      <w:gridCol w:w="1275"/>
    </w:tblGrid>
    <w:tr w:rsidR="00DD126F" w:rsidRPr="0037588D">
      <w:trPr>
        <w:cantSplit/>
        <w:trHeight w:val="994"/>
      </w:trPr>
      <w:tc>
        <w:tcPr>
          <w:tcW w:w="5557" w:type="dxa"/>
        </w:tcPr>
        <w:p w:rsidR="00DD126F" w:rsidRPr="0037588D" w:rsidRDefault="00996A4E" w:rsidP="0037588D">
          <w:pPr>
            <w:pStyle w:val="Yltunniste"/>
            <w:bidi/>
            <w:rPr>
              <w:noProof/>
            </w:rPr>
          </w:pPr>
          <w:r>
            <w:rPr>
              <w:noProof/>
              <w:lang w:eastAsia="a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Kuva 1" o:spid="_x0000_i1025" type="#_x0000_t75" alt="Kuvaus: Tays_mustaharmaaWMF" style="width:103pt;height:41.5pt;visibility:visible">
                <v:imagedata r:id="rId1" o:title="Tays_mustaharmaaWMF"/>
              </v:shape>
            </w:pict>
          </w:r>
        </w:p>
        <w:p w:rsidR="00596300" w:rsidRPr="0037588D" w:rsidRDefault="00596300" w:rsidP="0037588D">
          <w:pPr>
            <w:pStyle w:val="Yltunniste"/>
            <w:bidi/>
          </w:pPr>
        </w:p>
      </w:tc>
      <w:tc>
        <w:tcPr>
          <w:tcW w:w="1842" w:type="dxa"/>
        </w:tcPr>
        <w:p w:rsidR="00DD126F" w:rsidRPr="0037588D" w:rsidRDefault="00DD126F" w:rsidP="0037588D">
          <w:pPr>
            <w:pStyle w:val="Yltunniste"/>
            <w:bidi/>
            <w:rPr>
              <w:b/>
              <w:sz w:val="20"/>
            </w:rPr>
          </w:pPr>
          <w:r w:rsidRPr="0037588D">
            <w:rPr>
              <w:b/>
              <w:bCs/>
              <w:sz w:val="20"/>
              <w:rtl/>
              <w:lang w:eastAsia="ar"/>
            </w:rPr>
            <w:t>الإرشادات</w:t>
          </w:r>
        </w:p>
      </w:tc>
      <w:tc>
        <w:tcPr>
          <w:tcW w:w="1560" w:type="dxa"/>
        </w:tcPr>
        <w:p w:rsidR="00DD126F" w:rsidRPr="0037588D" w:rsidRDefault="00E36B04" w:rsidP="0037588D">
          <w:pPr>
            <w:pStyle w:val="Yltunniste"/>
            <w:bidi/>
            <w:rPr>
              <w:sz w:val="20"/>
            </w:rPr>
          </w:pPr>
          <w:r w:rsidRPr="0037588D">
            <w:rPr>
              <w:sz w:val="20"/>
              <w:rtl/>
              <w:lang w:eastAsia="ar"/>
            </w:rPr>
            <w:t>رقم: 10.13.36</w:t>
          </w:r>
        </w:p>
      </w:tc>
      <w:tc>
        <w:tcPr>
          <w:tcW w:w="1275" w:type="dxa"/>
        </w:tcPr>
        <w:p w:rsidR="00DD126F" w:rsidRPr="0037588D" w:rsidRDefault="00DD126F" w:rsidP="0037588D">
          <w:pPr>
            <w:pStyle w:val="Yltunniste"/>
            <w:bidi/>
            <w:ind w:left="255"/>
            <w:rPr>
              <w:sz w:val="20"/>
            </w:rPr>
          </w:pPr>
          <w:r w:rsidRPr="0037588D">
            <w:rPr>
              <w:rStyle w:val="Sivunumero"/>
              <w:sz w:val="20"/>
              <w:rtl/>
              <w:lang w:eastAsia="ar"/>
            </w:rPr>
            <w:fldChar w:fldCharType="begin"/>
          </w:r>
          <w:r w:rsidRPr="0037588D">
            <w:rPr>
              <w:rStyle w:val="Sivunumero"/>
              <w:sz w:val="20"/>
              <w:rtl/>
              <w:lang w:eastAsia="ar"/>
            </w:rPr>
            <w:instrText xml:space="preserve"> PAGE </w:instrText>
          </w:r>
          <w:r w:rsidRPr="0037588D">
            <w:rPr>
              <w:rStyle w:val="Sivunumero"/>
              <w:sz w:val="20"/>
              <w:rtl/>
              <w:lang w:eastAsia="ar"/>
            </w:rPr>
            <w:fldChar w:fldCharType="separate"/>
          </w:r>
          <w:r w:rsidR="00996A4E">
            <w:rPr>
              <w:rStyle w:val="Sivunumero"/>
              <w:noProof/>
              <w:sz w:val="20"/>
              <w:rtl/>
              <w:lang w:eastAsia="ar"/>
            </w:rPr>
            <w:t>1</w:t>
          </w:r>
          <w:r w:rsidRPr="0037588D">
            <w:rPr>
              <w:rStyle w:val="Sivunumero"/>
              <w:sz w:val="20"/>
              <w:rtl/>
              <w:lang w:eastAsia="ar"/>
            </w:rPr>
            <w:fldChar w:fldCharType="end"/>
          </w:r>
          <w:r w:rsidRPr="0037588D">
            <w:rPr>
              <w:rStyle w:val="Sivunumero"/>
              <w:sz w:val="20"/>
              <w:lang w:eastAsia="ar" w:bidi="fi-FI"/>
            </w:rPr>
            <w:t xml:space="preserve"> </w:t>
          </w:r>
          <w:r w:rsidR="00F70991">
            <w:rPr>
              <w:rStyle w:val="Sivunumero"/>
              <w:sz w:val="20"/>
              <w:rtl/>
              <w:lang w:eastAsia="ar" w:bidi="fi-FI"/>
            </w:rPr>
            <w:t>(</w:t>
          </w:r>
          <w:r w:rsidRPr="0037588D">
            <w:rPr>
              <w:rStyle w:val="Sivunumero"/>
              <w:sz w:val="20"/>
              <w:rtl/>
              <w:lang w:eastAsia="ar"/>
            </w:rPr>
            <w:fldChar w:fldCharType="begin"/>
          </w:r>
          <w:r w:rsidRPr="0037588D">
            <w:rPr>
              <w:rStyle w:val="Sivunumero"/>
              <w:sz w:val="20"/>
              <w:rtl/>
              <w:lang w:eastAsia="ar"/>
            </w:rPr>
            <w:instrText xml:space="preserve"> NUMPAGES </w:instrText>
          </w:r>
          <w:r w:rsidRPr="0037588D">
            <w:rPr>
              <w:rStyle w:val="Sivunumero"/>
              <w:sz w:val="20"/>
              <w:rtl/>
              <w:lang w:eastAsia="ar"/>
            </w:rPr>
            <w:fldChar w:fldCharType="separate"/>
          </w:r>
          <w:r w:rsidR="00996A4E">
            <w:rPr>
              <w:rStyle w:val="Sivunumero"/>
              <w:noProof/>
              <w:sz w:val="20"/>
              <w:rtl/>
              <w:lang w:eastAsia="ar"/>
            </w:rPr>
            <w:t>1</w:t>
          </w:r>
          <w:r w:rsidRPr="0037588D">
            <w:rPr>
              <w:rStyle w:val="Sivunumero"/>
              <w:sz w:val="20"/>
              <w:rtl/>
              <w:lang w:eastAsia="ar"/>
            </w:rPr>
            <w:fldChar w:fldCharType="end"/>
          </w:r>
          <w:r w:rsidRPr="0037588D">
            <w:rPr>
              <w:rStyle w:val="Sivunumero"/>
              <w:sz w:val="20"/>
              <w:rtl/>
              <w:lang w:eastAsia="ar"/>
            </w:rPr>
            <w:t>)</w:t>
          </w:r>
        </w:p>
      </w:tc>
    </w:tr>
    <w:tr w:rsidR="00DD126F" w:rsidRPr="0037588D">
      <w:trPr>
        <w:cantSplit/>
        <w:trHeight w:val="280"/>
      </w:trPr>
      <w:tc>
        <w:tcPr>
          <w:tcW w:w="5557" w:type="dxa"/>
          <w:vAlign w:val="bottom"/>
        </w:tcPr>
        <w:p w:rsidR="00DD126F" w:rsidRPr="0037588D" w:rsidRDefault="00BD0EAC" w:rsidP="0037588D">
          <w:pPr>
            <w:pStyle w:val="Yltunniste"/>
            <w:bidi/>
            <w:rPr>
              <w:sz w:val="20"/>
            </w:rPr>
          </w:pPr>
          <w:r w:rsidRPr="0037588D">
            <w:rPr>
              <w:sz w:val="20"/>
              <w:rtl/>
              <w:lang w:eastAsia="ar"/>
            </w:rPr>
            <w:t>أمراض الجهاز الهضمي</w:t>
          </w:r>
        </w:p>
      </w:tc>
      <w:tc>
        <w:tcPr>
          <w:tcW w:w="1842" w:type="dxa"/>
          <w:vAlign w:val="bottom"/>
        </w:tcPr>
        <w:p w:rsidR="00DD126F" w:rsidRPr="0037588D" w:rsidRDefault="00DD126F" w:rsidP="0037588D">
          <w:pPr>
            <w:pStyle w:val="Yltunniste"/>
            <w:bidi/>
            <w:rPr>
              <w:sz w:val="20"/>
            </w:rPr>
          </w:pPr>
          <w:bookmarkStart w:id="1" w:name="zDocumentClass"/>
          <w:bookmarkEnd w:id="1"/>
        </w:p>
      </w:tc>
      <w:tc>
        <w:tcPr>
          <w:tcW w:w="2835" w:type="dxa"/>
          <w:gridSpan w:val="2"/>
          <w:vAlign w:val="bottom"/>
        </w:tcPr>
        <w:p w:rsidR="00DD126F" w:rsidRPr="0037588D" w:rsidRDefault="00DD126F" w:rsidP="0037588D">
          <w:pPr>
            <w:pStyle w:val="Sivunumeroyltunnisteessa"/>
            <w:bidi/>
            <w:ind w:left="1389"/>
            <w:rPr>
              <w:rStyle w:val="Sivunumero"/>
            </w:rPr>
          </w:pPr>
          <w:bookmarkStart w:id="2" w:name="zDocumentEnclosure"/>
          <w:bookmarkEnd w:id="2"/>
        </w:p>
      </w:tc>
    </w:tr>
  </w:tbl>
  <w:p w:rsidR="00DD126F" w:rsidRPr="0037588D" w:rsidRDefault="00DD126F" w:rsidP="0037588D">
    <w:pPr>
      <w:pStyle w:val="Yltunniste"/>
      <w:bidi/>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588D" w:rsidRDefault="0037588D">
    <w:pPr>
      <w:pStyle w:val="Yltunniste"/>
      <w:bid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D8383E"/>
    <w:multiLevelType w:val="hybridMultilevel"/>
    <w:tmpl w:val="DAA45BFA"/>
    <w:lvl w:ilvl="0" w:tplc="040B0001">
      <w:start w:val="1"/>
      <w:numFmt w:val="bullet"/>
      <w:lvlText w:val=""/>
      <w:lvlJc w:val="left"/>
      <w:pPr>
        <w:tabs>
          <w:tab w:val="num" w:pos="2024"/>
        </w:tabs>
        <w:ind w:left="2024" w:hanging="360"/>
      </w:pPr>
      <w:rPr>
        <w:rFonts w:ascii="Symbol" w:hAnsi="Symbol" w:hint="default"/>
      </w:rPr>
    </w:lvl>
    <w:lvl w:ilvl="1" w:tplc="040B0003" w:tentative="1">
      <w:start w:val="1"/>
      <w:numFmt w:val="bullet"/>
      <w:lvlText w:val="o"/>
      <w:lvlJc w:val="left"/>
      <w:pPr>
        <w:tabs>
          <w:tab w:val="num" w:pos="2744"/>
        </w:tabs>
        <w:ind w:left="2744" w:hanging="360"/>
      </w:pPr>
      <w:rPr>
        <w:rFonts w:ascii="Courier New" w:hAnsi="Courier New" w:cs="Courier New" w:hint="default"/>
      </w:rPr>
    </w:lvl>
    <w:lvl w:ilvl="2" w:tplc="040B0005" w:tentative="1">
      <w:start w:val="1"/>
      <w:numFmt w:val="bullet"/>
      <w:lvlText w:val=""/>
      <w:lvlJc w:val="left"/>
      <w:pPr>
        <w:tabs>
          <w:tab w:val="num" w:pos="3464"/>
        </w:tabs>
        <w:ind w:left="3464" w:hanging="360"/>
      </w:pPr>
      <w:rPr>
        <w:rFonts w:ascii="Wingdings" w:hAnsi="Wingdings" w:hint="default"/>
      </w:rPr>
    </w:lvl>
    <w:lvl w:ilvl="3" w:tplc="040B0001" w:tentative="1">
      <w:start w:val="1"/>
      <w:numFmt w:val="bullet"/>
      <w:lvlText w:val=""/>
      <w:lvlJc w:val="left"/>
      <w:pPr>
        <w:tabs>
          <w:tab w:val="num" w:pos="4184"/>
        </w:tabs>
        <w:ind w:left="4184" w:hanging="360"/>
      </w:pPr>
      <w:rPr>
        <w:rFonts w:ascii="Symbol" w:hAnsi="Symbol" w:hint="default"/>
      </w:rPr>
    </w:lvl>
    <w:lvl w:ilvl="4" w:tplc="040B0003" w:tentative="1">
      <w:start w:val="1"/>
      <w:numFmt w:val="bullet"/>
      <w:lvlText w:val="o"/>
      <w:lvlJc w:val="left"/>
      <w:pPr>
        <w:tabs>
          <w:tab w:val="num" w:pos="4904"/>
        </w:tabs>
        <w:ind w:left="4904" w:hanging="360"/>
      </w:pPr>
      <w:rPr>
        <w:rFonts w:ascii="Courier New" w:hAnsi="Courier New" w:cs="Courier New" w:hint="default"/>
      </w:rPr>
    </w:lvl>
    <w:lvl w:ilvl="5" w:tplc="040B0005" w:tentative="1">
      <w:start w:val="1"/>
      <w:numFmt w:val="bullet"/>
      <w:lvlText w:val=""/>
      <w:lvlJc w:val="left"/>
      <w:pPr>
        <w:tabs>
          <w:tab w:val="num" w:pos="5624"/>
        </w:tabs>
        <w:ind w:left="5624" w:hanging="360"/>
      </w:pPr>
      <w:rPr>
        <w:rFonts w:ascii="Wingdings" w:hAnsi="Wingdings" w:hint="default"/>
      </w:rPr>
    </w:lvl>
    <w:lvl w:ilvl="6" w:tplc="040B0001" w:tentative="1">
      <w:start w:val="1"/>
      <w:numFmt w:val="bullet"/>
      <w:lvlText w:val=""/>
      <w:lvlJc w:val="left"/>
      <w:pPr>
        <w:tabs>
          <w:tab w:val="num" w:pos="6344"/>
        </w:tabs>
        <w:ind w:left="6344" w:hanging="360"/>
      </w:pPr>
      <w:rPr>
        <w:rFonts w:ascii="Symbol" w:hAnsi="Symbol" w:hint="default"/>
      </w:rPr>
    </w:lvl>
    <w:lvl w:ilvl="7" w:tplc="040B0003" w:tentative="1">
      <w:start w:val="1"/>
      <w:numFmt w:val="bullet"/>
      <w:lvlText w:val="o"/>
      <w:lvlJc w:val="left"/>
      <w:pPr>
        <w:tabs>
          <w:tab w:val="num" w:pos="7064"/>
        </w:tabs>
        <w:ind w:left="7064" w:hanging="360"/>
      </w:pPr>
      <w:rPr>
        <w:rFonts w:ascii="Courier New" w:hAnsi="Courier New" w:cs="Courier New" w:hint="default"/>
      </w:rPr>
    </w:lvl>
    <w:lvl w:ilvl="8" w:tplc="040B0005" w:tentative="1">
      <w:start w:val="1"/>
      <w:numFmt w:val="bullet"/>
      <w:lvlText w:val=""/>
      <w:lvlJc w:val="left"/>
      <w:pPr>
        <w:tabs>
          <w:tab w:val="num" w:pos="7784"/>
        </w:tabs>
        <w:ind w:left="7784" w:hanging="360"/>
      </w:pPr>
      <w:rPr>
        <w:rFonts w:ascii="Wingdings" w:hAnsi="Wingdings" w:hint="default"/>
      </w:rPr>
    </w:lvl>
  </w:abstractNum>
  <w:abstractNum w:abstractNumId="1" w15:restartNumberingAfterBreak="0">
    <w:nsid w:val="1A2363AA"/>
    <w:multiLevelType w:val="hybridMultilevel"/>
    <w:tmpl w:val="85F0AD9A"/>
    <w:lvl w:ilvl="0" w:tplc="040B0001">
      <w:start w:val="1"/>
      <w:numFmt w:val="bullet"/>
      <w:lvlText w:val=""/>
      <w:lvlJc w:val="left"/>
      <w:pPr>
        <w:tabs>
          <w:tab w:val="num" w:pos="2024"/>
        </w:tabs>
        <w:ind w:left="2024" w:hanging="360"/>
      </w:pPr>
      <w:rPr>
        <w:rFonts w:ascii="Symbol" w:hAnsi="Symbol" w:hint="default"/>
      </w:rPr>
    </w:lvl>
    <w:lvl w:ilvl="1" w:tplc="040B0003" w:tentative="1">
      <w:start w:val="1"/>
      <w:numFmt w:val="bullet"/>
      <w:lvlText w:val="o"/>
      <w:lvlJc w:val="left"/>
      <w:pPr>
        <w:tabs>
          <w:tab w:val="num" w:pos="2744"/>
        </w:tabs>
        <w:ind w:left="2744" w:hanging="360"/>
      </w:pPr>
      <w:rPr>
        <w:rFonts w:ascii="Courier New" w:hAnsi="Courier New" w:cs="Courier New" w:hint="default"/>
      </w:rPr>
    </w:lvl>
    <w:lvl w:ilvl="2" w:tplc="040B0005" w:tentative="1">
      <w:start w:val="1"/>
      <w:numFmt w:val="bullet"/>
      <w:lvlText w:val=""/>
      <w:lvlJc w:val="left"/>
      <w:pPr>
        <w:tabs>
          <w:tab w:val="num" w:pos="3464"/>
        </w:tabs>
        <w:ind w:left="3464" w:hanging="360"/>
      </w:pPr>
      <w:rPr>
        <w:rFonts w:ascii="Wingdings" w:hAnsi="Wingdings" w:hint="default"/>
      </w:rPr>
    </w:lvl>
    <w:lvl w:ilvl="3" w:tplc="040B0001" w:tentative="1">
      <w:start w:val="1"/>
      <w:numFmt w:val="bullet"/>
      <w:lvlText w:val=""/>
      <w:lvlJc w:val="left"/>
      <w:pPr>
        <w:tabs>
          <w:tab w:val="num" w:pos="4184"/>
        </w:tabs>
        <w:ind w:left="4184" w:hanging="360"/>
      </w:pPr>
      <w:rPr>
        <w:rFonts w:ascii="Symbol" w:hAnsi="Symbol" w:hint="default"/>
      </w:rPr>
    </w:lvl>
    <w:lvl w:ilvl="4" w:tplc="040B0003" w:tentative="1">
      <w:start w:val="1"/>
      <w:numFmt w:val="bullet"/>
      <w:lvlText w:val="o"/>
      <w:lvlJc w:val="left"/>
      <w:pPr>
        <w:tabs>
          <w:tab w:val="num" w:pos="4904"/>
        </w:tabs>
        <w:ind w:left="4904" w:hanging="360"/>
      </w:pPr>
      <w:rPr>
        <w:rFonts w:ascii="Courier New" w:hAnsi="Courier New" w:cs="Courier New" w:hint="default"/>
      </w:rPr>
    </w:lvl>
    <w:lvl w:ilvl="5" w:tplc="040B0005" w:tentative="1">
      <w:start w:val="1"/>
      <w:numFmt w:val="bullet"/>
      <w:lvlText w:val=""/>
      <w:lvlJc w:val="left"/>
      <w:pPr>
        <w:tabs>
          <w:tab w:val="num" w:pos="5624"/>
        </w:tabs>
        <w:ind w:left="5624" w:hanging="360"/>
      </w:pPr>
      <w:rPr>
        <w:rFonts w:ascii="Wingdings" w:hAnsi="Wingdings" w:hint="default"/>
      </w:rPr>
    </w:lvl>
    <w:lvl w:ilvl="6" w:tplc="040B0001" w:tentative="1">
      <w:start w:val="1"/>
      <w:numFmt w:val="bullet"/>
      <w:lvlText w:val=""/>
      <w:lvlJc w:val="left"/>
      <w:pPr>
        <w:tabs>
          <w:tab w:val="num" w:pos="6344"/>
        </w:tabs>
        <w:ind w:left="6344" w:hanging="360"/>
      </w:pPr>
      <w:rPr>
        <w:rFonts w:ascii="Symbol" w:hAnsi="Symbol" w:hint="default"/>
      </w:rPr>
    </w:lvl>
    <w:lvl w:ilvl="7" w:tplc="040B0003" w:tentative="1">
      <w:start w:val="1"/>
      <w:numFmt w:val="bullet"/>
      <w:lvlText w:val="o"/>
      <w:lvlJc w:val="left"/>
      <w:pPr>
        <w:tabs>
          <w:tab w:val="num" w:pos="7064"/>
        </w:tabs>
        <w:ind w:left="7064" w:hanging="360"/>
      </w:pPr>
      <w:rPr>
        <w:rFonts w:ascii="Courier New" w:hAnsi="Courier New" w:cs="Courier New" w:hint="default"/>
      </w:rPr>
    </w:lvl>
    <w:lvl w:ilvl="8" w:tplc="040B0005" w:tentative="1">
      <w:start w:val="1"/>
      <w:numFmt w:val="bullet"/>
      <w:lvlText w:val=""/>
      <w:lvlJc w:val="left"/>
      <w:pPr>
        <w:tabs>
          <w:tab w:val="num" w:pos="7784"/>
        </w:tabs>
        <w:ind w:left="7784" w:hanging="360"/>
      </w:pPr>
      <w:rPr>
        <w:rFonts w:ascii="Wingdings" w:hAnsi="Wingdings" w:hint="default"/>
      </w:rPr>
    </w:lvl>
  </w:abstractNum>
  <w:abstractNum w:abstractNumId="2" w15:restartNumberingAfterBreak="0">
    <w:nsid w:val="2CA1687B"/>
    <w:multiLevelType w:val="hybridMultilevel"/>
    <w:tmpl w:val="5FD023F6"/>
    <w:lvl w:ilvl="0" w:tplc="040B0001">
      <w:start w:val="1"/>
      <w:numFmt w:val="bullet"/>
      <w:lvlText w:val=""/>
      <w:lvlJc w:val="left"/>
      <w:pPr>
        <w:tabs>
          <w:tab w:val="num" w:pos="2024"/>
        </w:tabs>
        <w:ind w:left="2024" w:hanging="360"/>
      </w:pPr>
      <w:rPr>
        <w:rFonts w:ascii="Symbol" w:hAnsi="Symbol" w:hint="default"/>
      </w:rPr>
    </w:lvl>
    <w:lvl w:ilvl="1" w:tplc="040B0003" w:tentative="1">
      <w:start w:val="1"/>
      <w:numFmt w:val="bullet"/>
      <w:lvlText w:val="o"/>
      <w:lvlJc w:val="left"/>
      <w:pPr>
        <w:tabs>
          <w:tab w:val="num" w:pos="2744"/>
        </w:tabs>
        <w:ind w:left="2744" w:hanging="360"/>
      </w:pPr>
      <w:rPr>
        <w:rFonts w:ascii="Courier New" w:hAnsi="Courier New" w:cs="Courier New" w:hint="default"/>
      </w:rPr>
    </w:lvl>
    <w:lvl w:ilvl="2" w:tplc="040B0005" w:tentative="1">
      <w:start w:val="1"/>
      <w:numFmt w:val="bullet"/>
      <w:lvlText w:val=""/>
      <w:lvlJc w:val="left"/>
      <w:pPr>
        <w:tabs>
          <w:tab w:val="num" w:pos="3464"/>
        </w:tabs>
        <w:ind w:left="3464" w:hanging="360"/>
      </w:pPr>
      <w:rPr>
        <w:rFonts w:ascii="Wingdings" w:hAnsi="Wingdings" w:hint="default"/>
      </w:rPr>
    </w:lvl>
    <w:lvl w:ilvl="3" w:tplc="040B0001" w:tentative="1">
      <w:start w:val="1"/>
      <w:numFmt w:val="bullet"/>
      <w:lvlText w:val=""/>
      <w:lvlJc w:val="left"/>
      <w:pPr>
        <w:tabs>
          <w:tab w:val="num" w:pos="4184"/>
        </w:tabs>
        <w:ind w:left="4184" w:hanging="360"/>
      </w:pPr>
      <w:rPr>
        <w:rFonts w:ascii="Symbol" w:hAnsi="Symbol" w:hint="default"/>
      </w:rPr>
    </w:lvl>
    <w:lvl w:ilvl="4" w:tplc="040B0003" w:tentative="1">
      <w:start w:val="1"/>
      <w:numFmt w:val="bullet"/>
      <w:lvlText w:val="o"/>
      <w:lvlJc w:val="left"/>
      <w:pPr>
        <w:tabs>
          <w:tab w:val="num" w:pos="4904"/>
        </w:tabs>
        <w:ind w:left="4904" w:hanging="360"/>
      </w:pPr>
      <w:rPr>
        <w:rFonts w:ascii="Courier New" w:hAnsi="Courier New" w:cs="Courier New" w:hint="default"/>
      </w:rPr>
    </w:lvl>
    <w:lvl w:ilvl="5" w:tplc="040B0005" w:tentative="1">
      <w:start w:val="1"/>
      <w:numFmt w:val="bullet"/>
      <w:lvlText w:val=""/>
      <w:lvlJc w:val="left"/>
      <w:pPr>
        <w:tabs>
          <w:tab w:val="num" w:pos="5624"/>
        </w:tabs>
        <w:ind w:left="5624" w:hanging="360"/>
      </w:pPr>
      <w:rPr>
        <w:rFonts w:ascii="Wingdings" w:hAnsi="Wingdings" w:hint="default"/>
      </w:rPr>
    </w:lvl>
    <w:lvl w:ilvl="6" w:tplc="040B0001" w:tentative="1">
      <w:start w:val="1"/>
      <w:numFmt w:val="bullet"/>
      <w:lvlText w:val=""/>
      <w:lvlJc w:val="left"/>
      <w:pPr>
        <w:tabs>
          <w:tab w:val="num" w:pos="6344"/>
        </w:tabs>
        <w:ind w:left="6344" w:hanging="360"/>
      </w:pPr>
      <w:rPr>
        <w:rFonts w:ascii="Symbol" w:hAnsi="Symbol" w:hint="default"/>
      </w:rPr>
    </w:lvl>
    <w:lvl w:ilvl="7" w:tplc="040B0003" w:tentative="1">
      <w:start w:val="1"/>
      <w:numFmt w:val="bullet"/>
      <w:lvlText w:val="o"/>
      <w:lvlJc w:val="left"/>
      <w:pPr>
        <w:tabs>
          <w:tab w:val="num" w:pos="7064"/>
        </w:tabs>
        <w:ind w:left="7064" w:hanging="360"/>
      </w:pPr>
      <w:rPr>
        <w:rFonts w:ascii="Courier New" w:hAnsi="Courier New" w:cs="Courier New" w:hint="default"/>
      </w:rPr>
    </w:lvl>
    <w:lvl w:ilvl="8" w:tplc="040B0005" w:tentative="1">
      <w:start w:val="1"/>
      <w:numFmt w:val="bullet"/>
      <w:lvlText w:val=""/>
      <w:lvlJc w:val="left"/>
      <w:pPr>
        <w:tabs>
          <w:tab w:val="num" w:pos="7784"/>
        </w:tabs>
        <w:ind w:left="7784" w:hanging="360"/>
      </w:pPr>
      <w:rPr>
        <w:rFonts w:ascii="Wingdings" w:hAnsi="Wingdings" w:hint="default"/>
      </w:rPr>
    </w:lvl>
  </w:abstractNum>
  <w:abstractNum w:abstractNumId="3" w15:restartNumberingAfterBreak="0">
    <w:nsid w:val="3898648D"/>
    <w:multiLevelType w:val="hybridMultilevel"/>
    <w:tmpl w:val="84B0C850"/>
    <w:lvl w:ilvl="0" w:tplc="040B0001">
      <w:start w:val="1"/>
      <w:numFmt w:val="bullet"/>
      <w:lvlText w:val=""/>
      <w:lvlJc w:val="left"/>
      <w:pPr>
        <w:tabs>
          <w:tab w:val="num" w:pos="2024"/>
        </w:tabs>
        <w:ind w:left="2024" w:hanging="360"/>
      </w:pPr>
      <w:rPr>
        <w:rFonts w:ascii="Symbol" w:hAnsi="Symbol" w:hint="default"/>
      </w:rPr>
    </w:lvl>
    <w:lvl w:ilvl="1" w:tplc="040B0003" w:tentative="1">
      <w:start w:val="1"/>
      <w:numFmt w:val="bullet"/>
      <w:lvlText w:val="o"/>
      <w:lvlJc w:val="left"/>
      <w:pPr>
        <w:tabs>
          <w:tab w:val="num" w:pos="2744"/>
        </w:tabs>
        <w:ind w:left="2744" w:hanging="360"/>
      </w:pPr>
      <w:rPr>
        <w:rFonts w:ascii="Courier New" w:hAnsi="Courier New" w:cs="Courier New" w:hint="default"/>
      </w:rPr>
    </w:lvl>
    <w:lvl w:ilvl="2" w:tplc="040B0005" w:tentative="1">
      <w:start w:val="1"/>
      <w:numFmt w:val="bullet"/>
      <w:lvlText w:val=""/>
      <w:lvlJc w:val="left"/>
      <w:pPr>
        <w:tabs>
          <w:tab w:val="num" w:pos="3464"/>
        </w:tabs>
        <w:ind w:left="3464" w:hanging="360"/>
      </w:pPr>
      <w:rPr>
        <w:rFonts w:ascii="Wingdings" w:hAnsi="Wingdings" w:hint="default"/>
      </w:rPr>
    </w:lvl>
    <w:lvl w:ilvl="3" w:tplc="040B0001" w:tentative="1">
      <w:start w:val="1"/>
      <w:numFmt w:val="bullet"/>
      <w:lvlText w:val=""/>
      <w:lvlJc w:val="left"/>
      <w:pPr>
        <w:tabs>
          <w:tab w:val="num" w:pos="4184"/>
        </w:tabs>
        <w:ind w:left="4184" w:hanging="360"/>
      </w:pPr>
      <w:rPr>
        <w:rFonts w:ascii="Symbol" w:hAnsi="Symbol" w:hint="default"/>
      </w:rPr>
    </w:lvl>
    <w:lvl w:ilvl="4" w:tplc="040B0003" w:tentative="1">
      <w:start w:val="1"/>
      <w:numFmt w:val="bullet"/>
      <w:lvlText w:val="o"/>
      <w:lvlJc w:val="left"/>
      <w:pPr>
        <w:tabs>
          <w:tab w:val="num" w:pos="4904"/>
        </w:tabs>
        <w:ind w:left="4904" w:hanging="360"/>
      </w:pPr>
      <w:rPr>
        <w:rFonts w:ascii="Courier New" w:hAnsi="Courier New" w:cs="Courier New" w:hint="default"/>
      </w:rPr>
    </w:lvl>
    <w:lvl w:ilvl="5" w:tplc="040B0005" w:tentative="1">
      <w:start w:val="1"/>
      <w:numFmt w:val="bullet"/>
      <w:lvlText w:val=""/>
      <w:lvlJc w:val="left"/>
      <w:pPr>
        <w:tabs>
          <w:tab w:val="num" w:pos="5624"/>
        </w:tabs>
        <w:ind w:left="5624" w:hanging="360"/>
      </w:pPr>
      <w:rPr>
        <w:rFonts w:ascii="Wingdings" w:hAnsi="Wingdings" w:hint="default"/>
      </w:rPr>
    </w:lvl>
    <w:lvl w:ilvl="6" w:tplc="040B0001" w:tentative="1">
      <w:start w:val="1"/>
      <w:numFmt w:val="bullet"/>
      <w:lvlText w:val=""/>
      <w:lvlJc w:val="left"/>
      <w:pPr>
        <w:tabs>
          <w:tab w:val="num" w:pos="6344"/>
        </w:tabs>
        <w:ind w:left="6344" w:hanging="360"/>
      </w:pPr>
      <w:rPr>
        <w:rFonts w:ascii="Symbol" w:hAnsi="Symbol" w:hint="default"/>
      </w:rPr>
    </w:lvl>
    <w:lvl w:ilvl="7" w:tplc="040B0003" w:tentative="1">
      <w:start w:val="1"/>
      <w:numFmt w:val="bullet"/>
      <w:lvlText w:val="o"/>
      <w:lvlJc w:val="left"/>
      <w:pPr>
        <w:tabs>
          <w:tab w:val="num" w:pos="7064"/>
        </w:tabs>
        <w:ind w:left="7064" w:hanging="360"/>
      </w:pPr>
      <w:rPr>
        <w:rFonts w:ascii="Courier New" w:hAnsi="Courier New" w:cs="Courier New" w:hint="default"/>
      </w:rPr>
    </w:lvl>
    <w:lvl w:ilvl="8" w:tplc="040B0005" w:tentative="1">
      <w:start w:val="1"/>
      <w:numFmt w:val="bullet"/>
      <w:lvlText w:val=""/>
      <w:lvlJc w:val="left"/>
      <w:pPr>
        <w:tabs>
          <w:tab w:val="num" w:pos="7784"/>
        </w:tabs>
        <w:ind w:left="7784" w:hanging="360"/>
      </w:pPr>
      <w:rPr>
        <w:rFonts w:ascii="Wingdings" w:hAnsi="Wingdings" w:hint="default"/>
      </w:rPr>
    </w:lvl>
  </w:abstractNum>
  <w:abstractNum w:abstractNumId="4" w15:restartNumberingAfterBreak="0">
    <w:nsid w:val="3A174514"/>
    <w:multiLevelType w:val="hybridMultilevel"/>
    <w:tmpl w:val="DE2A7E8A"/>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5" w15:restartNumberingAfterBreak="0">
    <w:nsid w:val="6C816DB4"/>
    <w:multiLevelType w:val="hybridMultilevel"/>
    <w:tmpl w:val="19D8C53E"/>
    <w:lvl w:ilvl="0" w:tplc="040B0001">
      <w:start w:val="1"/>
      <w:numFmt w:val="bullet"/>
      <w:lvlText w:val=""/>
      <w:lvlJc w:val="left"/>
      <w:pPr>
        <w:tabs>
          <w:tab w:val="num" w:pos="2024"/>
        </w:tabs>
        <w:ind w:left="2024" w:hanging="360"/>
      </w:pPr>
      <w:rPr>
        <w:rFonts w:ascii="Symbol" w:hAnsi="Symbol" w:hint="default"/>
      </w:rPr>
    </w:lvl>
    <w:lvl w:ilvl="1" w:tplc="040B0003" w:tentative="1">
      <w:start w:val="1"/>
      <w:numFmt w:val="bullet"/>
      <w:lvlText w:val="o"/>
      <w:lvlJc w:val="left"/>
      <w:pPr>
        <w:tabs>
          <w:tab w:val="num" w:pos="2744"/>
        </w:tabs>
        <w:ind w:left="2744" w:hanging="360"/>
      </w:pPr>
      <w:rPr>
        <w:rFonts w:ascii="Courier New" w:hAnsi="Courier New" w:cs="Courier New" w:hint="default"/>
      </w:rPr>
    </w:lvl>
    <w:lvl w:ilvl="2" w:tplc="040B0005" w:tentative="1">
      <w:start w:val="1"/>
      <w:numFmt w:val="bullet"/>
      <w:lvlText w:val=""/>
      <w:lvlJc w:val="left"/>
      <w:pPr>
        <w:tabs>
          <w:tab w:val="num" w:pos="3464"/>
        </w:tabs>
        <w:ind w:left="3464" w:hanging="360"/>
      </w:pPr>
      <w:rPr>
        <w:rFonts w:ascii="Wingdings" w:hAnsi="Wingdings" w:hint="default"/>
      </w:rPr>
    </w:lvl>
    <w:lvl w:ilvl="3" w:tplc="040B0001" w:tentative="1">
      <w:start w:val="1"/>
      <w:numFmt w:val="bullet"/>
      <w:lvlText w:val=""/>
      <w:lvlJc w:val="left"/>
      <w:pPr>
        <w:tabs>
          <w:tab w:val="num" w:pos="4184"/>
        </w:tabs>
        <w:ind w:left="4184" w:hanging="360"/>
      </w:pPr>
      <w:rPr>
        <w:rFonts w:ascii="Symbol" w:hAnsi="Symbol" w:hint="default"/>
      </w:rPr>
    </w:lvl>
    <w:lvl w:ilvl="4" w:tplc="040B0003" w:tentative="1">
      <w:start w:val="1"/>
      <w:numFmt w:val="bullet"/>
      <w:lvlText w:val="o"/>
      <w:lvlJc w:val="left"/>
      <w:pPr>
        <w:tabs>
          <w:tab w:val="num" w:pos="4904"/>
        </w:tabs>
        <w:ind w:left="4904" w:hanging="360"/>
      </w:pPr>
      <w:rPr>
        <w:rFonts w:ascii="Courier New" w:hAnsi="Courier New" w:cs="Courier New" w:hint="default"/>
      </w:rPr>
    </w:lvl>
    <w:lvl w:ilvl="5" w:tplc="040B0005" w:tentative="1">
      <w:start w:val="1"/>
      <w:numFmt w:val="bullet"/>
      <w:lvlText w:val=""/>
      <w:lvlJc w:val="left"/>
      <w:pPr>
        <w:tabs>
          <w:tab w:val="num" w:pos="5624"/>
        </w:tabs>
        <w:ind w:left="5624" w:hanging="360"/>
      </w:pPr>
      <w:rPr>
        <w:rFonts w:ascii="Wingdings" w:hAnsi="Wingdings" w:hint="default"/>
      </w:rPr>
    </w:lvl>
    <w:lvl w:ilvl="6" w:tplc="040B0001" w:tentative="1">
      <w:start w:val="1"/>
      <w:numFmt w:val="bullet"/>
      <w:lvlText w:val=""/>
      <w:lvlJc w:val="left"/>
      <w:pPr>
        <w:tabs>
          <w:tab w:val="num" w:pos="6344"/>
        </w:tabs>
        <w:ind w:left="6344" w:hanging="360"/>
      </w:pPr>
      <w:rPr>
        <w:rFonts w:ascii="Symbol" w:hAnsi="Symbol" w:hint="default"/>
      </w:rPr>
    </w:lvl>
    <w:lvl w:ilvl="7" w:tplc="040B0003" w:tentative="1">
      <w:start w:val="1"/>
      <w:numFmt w:val="bullet"/>
      <w:lvlText w:val="o"/>
      <w:lvlJc w:val="left"/>
      <w:pPr>
        <w:tabs>
          <w:tab w:val="num" w:pos="7064"/>
        </w:tabs>
        <w:ind w:left="7064" w:hanging="360"/>
      </w:pPr>
      <w:rPr>
        <w:rFonts w:ascii="Courier New" w:hAnsi="Courier New" w:cs="Courier New" w:hint="default"/>
      </w:rPr>
    </w:lvl>
    <w:lvl w:ilvl="8" w:tplc="040B0005" w:tentative="1">
      <w:start w:val="1"/>
      <w:numFmt w:val="bullet"/>
      <w:lvlText w:val=""/>
      <w:lvlJc w:val="left"/>
      <w:pPr>
        <w:tabs>
          <w:tab w:val="num" w:pos="7784"/>
        </w:tabs>
        <w:ind w:left="7784" w:hanging="360"/>
      </w:pPr>
      <w:rPr>
        <w:rFonts w:ascii="Wingdings" w:hAnsi="Wingdings" w:hint="default"/>
      </w:rPr>
    </w:lvl>
  </w:abstractNum>
  <w:abstractNum w:abstractNumId="6" w15:restartNumberingAfterBreak="0">
    <w:nsid w:val="7CCF6EA9"/>
    <w:multiLevelType w:val="hybridMultilevel"/>
    <w:tmpl w:val="1DC683C0"/>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num w:numId="1">
    <w:abstractNumId w:val="1"/>
  </w:num>
  <w:num w:numId="2">
    <w:abstractNumId w:val="3"/>
  </w:num>
  <w:num w:numId="3">
    <w:abstractNumId w:val="0"/>
  </w:num>
  <w:num w:numId="4">
    <w:abstractNumId w:val="5"/>
  </w:num>
  <w:num w:numId="5">
    <w:abstractNumId w:val="2"/>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304"/>
  <w:hyphenationZone w:val="142"/>
  <w:doNotHyphenateCaps/>
  <w:noPunctuationKerning/>
  <w:characterSpacingControl w:val="doNotCompress"/>
  <w:hdrShapeDefaults>
    <o:shapedefaults v:ext="edit" spidmax="5122"/>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B04BE"/>
    <w:rsid w:val="000351DE"/>
    <w:rsid w:val="0003726F"/>
    <w:rsid w:val="001536C4"/>
    <w:rsid w:val="00173E1C"/>
    <w:rsid w:val="001E74A3"/>
    <w:rsid w:val="00271683"/>
    <w:rsid w:val="002A7067"/>
    <w:rsid w:val="002C0DDC"/>
    <w:rsid w:val="00323807"/>
    <w:rsid w:val="0037588D"/>
    <w:rsid w:val="00444844"/>
    <w:rsid w:val="00451689"/>
    <w:rsid w:val="00473C82"/>
    <w:rsid w:val="004876A4"/>
    <w:rsid w:val="00543D0D"/>
    <w:rsid w:val="00550816"/>
    <w:rsid w:val="00596300"/>
    <w:rsid w:val="00673713"/>
    <w:rsid w:val="006F7C69"/>
    <w:rsid w:val="007059D5"/>
    <w:rsid w:val="00780671"/>
    <w:rsid w:val="0081034D"/>
    <w:rsid w:val="008800D4"/>
    <w:rsid w:val="008901C8"/>
    <w:rsid w:val="0094751D"/>
    <w:rsid w:val="009950BA"/>
    <w:rsid w:val="00996A4E"/>
    <w:rsid w:val="009A6055"/>
    <w:rsid w:val="009F4EEC"/>
    <w:rsid w:val="00B96B4A"/>
    <w:rsid w:val="00BD0EAC"/>
    <w:rsid w:val="00C03947"/>
    <w:rsid w:val="00CA4352"/>
    <w:rsid w:val="00CF174F"/>
    <w:rsid w:val="00D05C37"/>
    <w:rsid w:val="00D446E1"/>
    <w:rsid w:val="00D47DFB"/>
    <w:rsid w:val="00DA1BA9"/>
    <w:rsid w:val="00DD126F"/>
    <w:rsid w:val="00E36B04"/>
    <w:rsid w:val="00E55D15"/>
    <w:rsid w:val="00EE161C"/>
    <w:rsid w:val="00F70991"/>
    <w:rsid w:val="00FA4979"/>
    <w:rsid w:val="00FB04BE"/>
    <w:rsid w:val="00FC5C0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14:docId w14:val="024C7A47"/>
  <w15:chartTrackingRefBased/>
  <w15:docId w15:val="{311FB10A-3648-42AE-9E4F-A814F2F05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Pr>
      <w:rFonts w:ascii="Arial" w:hAnsi="Arial"/>
      <w:sz w:val="22"/>
    </w:rPr>
  </w:style>
  <w:style w:type="paragraph" w:styleId="Otsikko1">
    <w:name w:val="heading 1"/>
    <w:basedOn w:val="Normaali"/>
    <w:next w:val="Normaali"/>
    <w:qFormat/>
    <w:pPr>
      <w:keepNext/>
      <w:spacing w:before="240" w:after="240"/>
      <w:outlineLvl w:val="0"/>
    </w:pPr>
    <w:rPr>
      <w:b/>
      <w:sz w:val="28"/>
    </w:rPr>
  </w:style>
  <w:style w:type="paragraph" w:styleId="Otsikko2">
    <w:name w:val="heading 2"/>
    <w:basedOn w:val="Normaali"/>
    <w:next w:val="Normaali"/>
    <w:autoRedefine/>
    <w:qFormat/>
    <w:pPr>
      <w:keepNext/>
      <w:spacing w:before="360" w:after="180"/>
      <w:outlineLvl w:val="1"/>
    </w:pPr>
    <w:rPr>
      <w:rFonts w:cs="Arial"/>
      <w:b/>
      <w:bCs/>
      <w:iCs/>
      <w:szCs w:val="28"/>
    </w:rPr>
  </w:style>
  <w:style w:type="paragraph" w:styleId="Otsikko3">
    <w:name w:val="heading 3"/>
    <w:basedOn w:val="Normaali"/>
    <w:next w:val="Normaali"/>
    <w:autoRedefine/>
    <w:qFormat/>
    <w:pPr>
      <w:keepNext/>
      <w:spacing w:before="240" w:after="60"/>
      <w:ind w:left="1304"/>
      <w:outlineLvl w:val="2"/>
    </w:pPr>
    <w:rPr>
      <w:rFonts w:cs="Arial"/>
      <w:b/>
      <w:bCs/>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Alatunniste">
    <w:name w:val="footer"/>
    <w:basedOn w:val="Normaali"/>
  </w:style>
  <w:style w:type="paragraph" w:styleId="Yltunniste">
    <w:name w:val="header"/>
    <w:basedOn w:val="Normaali"/>
  </w:style>
  <w:style w:type="character" w:styleId="Sivunumero">
    <w:name w:val="page number"/>
    <w:basedOn w:val="Kappaleenoletusfontti"/>
  </w:style>
  <w:style w:type="character" w:customStyle="1" w:styleId="zContactInfo">
    <w:name w:val="zContact Info"/>
    <w:rPr>
      <w:rFonts w:ascii="Arial" w:hAnsi="Arial"/>
      <w:noProof/>
      <w:sz w:val="17"/>
      <w:lang w:val="fi-FI"/>
    </w:rPr>
  </w:style>
  <w:style w:type="paragraph" w:customStyle="1" w:styleId="Sivunumeroyltunnisteessa">
    <w:name w:val="Sivunumero ylätunnisteessa"/>
    <w:basedOn w:val="Normaali"/>
    <w:pPr>
      <w:tabs>
        <w:tab w:val="left" w:pos="9129"/>
      </w:tabs>
    </w:pPr>
  </w:style>
  <w:style w:type="table" w:styleId="TaulukkoRuudukko">
    <w:name w:val="Table Grid"/>
    <w:basedOn w:val="Normaalitaulukko"/>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liteteksti">
    <w:name w:val="Balloon Text"/>
    <w:basedOn w:val="Normaali"/>
    <w:link w:val="SelitetekstiChar"/>
    <w:rsid w:val="00FB04BE"/>
    <w:rPr>
      <w:rFonts w:ascii="Tahoma" w:hAnsi="Tahoma" w:cs="Tahoma"/>
      <w:sz w:val="16"/>
      <w:szCs w:val="16"/>
    </w:rPr>
  </w:style>
  <w:style w:type="character" w:customStyle="1" w:styleId="SelitetekstiChar">
    <w:name w:val="Seliteteksti Char"/>
    <w:link w:val="Seliteteksti"/>
    <w:rsid w:val="00FB04B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222</Words>
  <Characters>1804</Characters>
  <Application>Microsoft Office Word</Application>
  <DocSecurity>0</DocSecurity>
  <Lines>15</Lines>
  <Paragraphs>4</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Paksusuolen tähystykseen valmistautuminen (Picoprep)</vt:lpstr>
      <vt:lpstr>Paksusuolen tähystykseen valmistautuminen (Picoprep)</vt:lpstr>
    </vt:vector>
  </TitlesOfParts>
  <Company>PSHP</Company>
  <LinksUpToDate>false</LinksUpToDate>
  <CharactersWithSpaces>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Paksusuolen tähystykseen valmistautuminen (Picoprep)</dc:title>
  <dc:subject/>
  <dc:creator>lastmaru</dc:creator>
  <cp:keywords/>
  <cp:lastModifiedBy>Ström Päivi</cp:lastModifiedBy>
  <cp:revision>3</cp:revision>
  <cp:lastPrinted>2021-08-05T21:48:00Z</cp:lastPrinted>
  <dcterms:created xsi:type="dcterms:W3CDTF">2021-08-12T06:55:00Z</dcterms:created>
  <dcterms:modified xsi:type="dcterms:W3CDTF">2021-08-12T07:23:00Z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