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9" w:rsidRPr="00452F3C" w:rsidRDefault="00C267B9" w:rsidP="00C267B9">
      <w:pPr>
        <w:pStyle w:val="Otsikko1"/>
      </w:pPr>
      <w:r w:rsidRPr="00452F3C">
        <w:rPr>
          <w:lang w:bidi="ru-RU"/>
        </w:rPr>
        <w:t>Магнитно-резонансная томография</w:t>
      </w:r>
      <w:bookmarkStart w:id="0" w:name="_GoBack"/>
      <w:bookmarkEnd w:id="0"/>
    </w:p>
    <w:p w:rsidR="00C267B9" w:rsidRDefault="00C267B9" w:rsidP="00C267B9">
      <w:pPr>
        <w:ind w:left="1304"/>
      </w:pPr>
      <w:r w:rsidRPr="00452F3C">
        <w:rPr>
          <w:lang w:bidi="ru-RU"/>
        </w:rPr>
        <w:t>Магнитно-резонансная томография — это метод визуализации, основанный на магнитных свойствах тела. Рентгеновское излучение в исследовании не используется. Обследование является безболезненным и занимает около 30–90 минут. Во время обследования в вену на руке может быть введен препарат, обладающий интенсифицирующим действием.</w:t>
      </w:r>
    </w:p>
    <w:p w:rsidR="00C267B9" w:rsidRDefault="00C267B9" w:rsidP="00C267B9">
      <w:pPr>
        <w:ind w:left="1304"/>
      </w:pPr>
    </w:p>
    <w:p w:rsidR="00C267B9" w:rsidRDefault="00C267B9" w:rsidP="00C267B9">
      <w:pPr>
        <w:ind w:left="1304"/>
      </w:pPr>
      <w:r w:rsidRPr="00452F3C">
        <w:rPr>
          <w:lang w:bidi="ru-RU"/>
        </w:rPr>
        <w:t>На время визуализации вас поместят на стол для обследования в трубчатое устройство для визуализации, которое освещается и вентилируется. Прибор для визуализации издает довольно громкий щелкающий звук во время серий снимков, поэтому вам дадут наушники. Во время обследования, в зависимости от объекта визуализации, обычно можно слушать радио или, в качестве альтернативы, вы можете принести свой собственный компакт-диск для прослушивания. Медсестры рентгенологического отделения поддерживают зрительный, слуховой и голосовой контакт с вами на протяжении всего времени обследования.</w:t>
      </w:r>
    </w:p>
    <w:p w:rsidR="00C267B9" w:rsidRDefault="00C267B9" w:rsidP="00C267B9">
      <w:pPr>
        <w:ind w:left="1304"/>
      </w:pPr>
    </w:p>
    <w:p w:rsidR="00C267B9" w:rsidRDefault="00C267B9" w:rsidP="00C267B9">
      <w:pPr>
        <w:ind w:left="1304"/>
      </w:pPr>
      <w:r w:rsidRPr="00452F3C">
        <w:rPr>
          <w:lang w:bidi="ru-RU"/>
        </w:rPr>
        <w:t>При необходимости сопровождающий может быть с вами в комнате для визуализации.</w:t>
      </w:r>
    </w:p>
    <w:p w:rsidR="00C267B9" w:rsidRDefault="00C267B9" w:rsidP="00C267B9">
      <w:pPr>
        <w:ind w:left="1304"/>
      </w:pPr>
    </w:p>
    <w:p w:rsidR="00E93717" w:rsidRDefault="00E93717" w:rsidP="00E93717">
      <w:pPr>
        <w:ind w:left="1304"/>
        <w:rPr>
          <w:rFonts w:cs="Arial"/>
          <w:lang w:val="ru-RU"/>
        </w:rPr>
      </w:pPr>
      <w:r>
        <w:rPr>
          <w:rFonts w:cs="Arial"/>
          <w:lang w:val="ru-RU" w:bidi="ru-RU"/>
        </w:rPr>
        <w:t xml:space="preserve">Заполните прилагаемый бланк предварительной информации и возьмите его с собой на обследование. </w:t>
      </w:r>
    </w:p>
    <w:p w:rsidR="00E93717" w:rsidRDefault="00E93717" w:rsidP="00E93717">
      <w:pPr>
        <w:ind w:left="1304"/>
        <w:rPr>
          <w:rFonts w:cs="Arial"/>
          <w:lang w:val="ru-RU" w:bidi="ru-RU"/>
        </w:rPr>
      </w:pPr>
      <w:r>
        <w:rPr>
          <w:rFonts w:cs="Arial"/>
          <w:b/>
          <w:lang w:val="ru-RU" w:bidi="ru-RU"/>
        </w:rPr>
        <w:t xml:space="preserve">В случае, если у пациента установлен кардиостимулятор, </w:t>
      </w:r>
      <w:r>
        <w:rPr>
          <w:rFonts w:cs="Arial"/>
          <w:lang w:val="ru-RU" w:bidi="ru-RU"/>
        </w:rPr>
        <w:t xml:space="preserve">направляющая сторона должна заблаговременно определять магнитную пригодность кардиостимулятора перед каждым посещением магнитно-резонансной томографии. </w:t>
      </w:r>
    </w:p>
    <w:p w:rsidR="00C267B9" w:rsidRPr="00452F3C" w:rsidRDefault="00E93717" w:rsidP="00E93717">
      <w:pPr>
        <w:pStyle w:val="Otsikko2"/>
      </w:pPr>
      <w:r w:rsidRPr="00E93717">
        <w:rPr>
          <w:lang w:val="ru-RU" w:bidi="ru-RU"/>
        </w:rPr>
        <w:t xml:space="preserve"> </w:t>
      </w:r>
      <w:r w:rsidR="00C267B9" w:rsidRPr="00452F3C">
        <w:rPr>
          <w:lang w:bidi="ru-RU"/>
        </w:rPr>
        <w:t>Подготовка</w:t>
      </w:r>
    </w:p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 w:rsidRPr="00452F3C">
        <w:rPr>
          <w:lang w:bidi="ru-RU"/>
        </w:rPr>
        <w:t>Перед приходом на томографию брюшной полости, таза и всего тела нужно голодать в течение четырех часов.</w:t>
      </w:r>
    </w:p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 w:rsidRPr="00452F3C">
        <w:rPr>
          <w:lang w:bidi="ru-RU"/>
        </w:rPr>
        <w:t>При визуализации предстательной железы прямая кишка перед обследованием должна быть максимально пустой.</w:t>
      </w:r>
    </w:p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 w:rsidRPr="00452F3C">
        <w:rPr>
          <w:lang w:bidi="ru-RU"/>
        </w:rPr>
        <w:t>Перед обследованием тонкой кишки взрослые не должны есть в течение восьми часов.</w:t>
      </w:r>
    </w:p>
    <w:p w:rsidR="00C267B9" w:rsidRPr="00452F3C" w:rsidRDefault="00C267B9" w:rsidP="00C267B9"/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 w:rsidRPr="00452F3C">
        <w:rPr>
          <w:lang w:bidi="ru-RU"/>
        </w:rPr>
        <w:t>Перед обследованием тонкой кишки дети не должны есть в течение четырех часов.</w:t>
      </w:r>
    </w:p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 w:rsidRPr="00452F3C">
        <w:rPr>
          <w:lang w:bidi="ru-RU"/>
        </w:rPr>
        <w:t>Дети не должны есть в течение двух-трех часов, если визуализация всего тела проводится без анестезии. Вы должны голодать в течение четырех-шести часов до того, как вам будет сделана визуализация всего тела под общим наркозом.</w:t>
      </w:r>
    </w:p>
    <w:p w:rsidR="00C267B9" w:rsidRPr="00452F3C" w:rsidRDefault="00C267B9" w:rsidP="00C267B9"/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>
        <w:rPr>
          <w:lang w:bidi="ru-RU"/>
        </w:rPr>
        <w:t xml:space="preserve">Вы можете выпить небольшое количество воды и принять лекарства.        </w:t>
      </w:r>
    </w:p>
    <w:p w:rsidR="00C267B9" w:rsidRPr="00452F3C" w:rsidRDefault="00C267B9" w:rsidP="00C267B9"/>
    <w:p w:rsidR="00C267B9" w:rsidRPr="00452F3C" w:rsidRDefault="00C267B9" w:rsidP="00C267B9">
      <w:pPr>
        <w:numPr>
          <w:ilvl w:val="0"/>
          <w:numId w:val="3"/>
        </w:numPr>
        <w:tabs>
          <w:tab w:val="clear" w:pos="1304"/>
        </w:tabs>
      </w:pPr>
      <w:r w:rsidRPr="00452F3C">
        <w:rPr>
          <w:lang w:bidi="ru-RU"/>
        </w:rPr>
        <w:t>Перед магнитно-резонансной томографией других частей тела (голова, шейный, грудной и поясничный отделы позвоночника, суставы) голодать не нужно.</w:t>
      </w:r>
    </w:p>
    <w:p w:rsidR="00C267B9" w:rsidRPr="00452F3C" w:rsidRDefault="00C267B9" w:rsidP="00C267B9"/>
    <w:p w:rsidR="00C267B9" w:rsidRPr="00452F3C" w:rsidRDefault="00C267B9" w:rsidP="00C267B9"/>
    <w:p w:rsidR="00C267B9" w:rsidRPr="00452F3C" w:rsidRDefault="00C267B9" w:rsidP="00C267B9">
      <w:pPr>
        <w:pStyle w:val="Luettelokappale"/>
        <w:numPr>
          <w:ilvl w:val="0"/>
          <w:numId w:val="4"/>
        </w:numPr>
        <w:tabs>
          <w:tab w:val="clear" w:pos="1304"/>
        </w:tabs>
      </w:pPr>
      <w:r w:rsidRPr="00452F3C">
        <w:rPr>
          <w:lang w:bidi="ru-RU"/>
        </w:rPr>
        <w:t>При визуализации области головы и шеи интенсивный макияж глаз мешает обследованию.</w:t>
      </w:r>
    </w:p>
    <w:p w:rsidR="00C267B9" w:rsidRPr="00452F3C" w:rsidRDefault="00C267B9" w:rsidP="00C267B9">
      <w:pPr>
        <w:pStyle w:val="Luettelokappale"/>
        <w:numPr>
          <w:ilvl w:val="0"/>
          <w:numId w:val="4"/>
        </w:numPr>
        <w:tabs>
          <w:tab w:val="clear" w:pos="1304"/>
        </w:tabs>
      </w:pPr>
      <w:r w:rsidRPr="00452F3C">
        <w:rPr>
          <w:lang w:bidi="ru-RU"/>
        </w:rPr>
        <w:t xml:space="preserve">Перед началом магнитно-резонансной томографии необходимо снять сенсор для измерения уровня глюкозы в крови. При несрочных обследованиях можно попробовать приурочить магнитно-резонансную томографию к моменту замены </w:t>
      </w:r>
      <w:r w:rsidRPr="00452F3C">
        <w:rPr>
          <w:lang w:bidi="ru-RU"/>
        </w:rPr>
        <w:lastRenderedPageBreak/>
        <w:t>сенсора. По вопросам бронирования времени вы можете связываться с секретарем, отвечающим за резервирование времени на магнитно-резонансную томографию.</w:t>
      </w:r>
    </w:p>
    <w:p w:rsidR="00C267B9" w:rsidRPr="00623D1C" w:rsidRDefault="00C267B9" w:rsidP="00C267B9">
      <w:pPr>
        <w:pStyle w:val="Luettelokappale"/>
        <w:numPr>
          <w:ilvl w:val="0"/>
          <w:numId w:val="4"/>
        </w:numPr>
        <w:tabs>
          <w:tab w:val="clear" w:pos="1304"/>
        </w:tabs>
        <w:spacing w:after="160" w:line="259" w:lineRule="auto"/>
      </w:pPr>
      <w:r w:rsidRPr="00623D1C">
        <w:rPr>
          <w:lang w:bidi="ru-RU"/>
        </w:rPr>
        <w:t xml:space="preserve">Перед обследованием необходимо снять металлические предметы, например, такие как украшения, пирсинг, накладные ресницы с магнитным креплением и часы. Для ценных вещей в раздевалке есть шкаф, закрывающийся на ключ. </w:t>
      </w:r>
    </w:p>
    <w:p w:rsidR="00C267B9" w:rsidRPr="00452F3C" w:rsidRDefault="00C267B9" w:rsidP="00C267B9"/>
    <w:p w:rsidR="00C267B9" w:rsidRDefault="00C267B9" w:rsidP="00C267B9">
      <w:pPr>
        <w:ind w:left="1304"/>
      </w:pPr>
    </w:p>
    <w:p w:rsidR="00C267B9" w:rsidRDefault="00C267B9" w:rsidP="00C267B9">
      <w:pPr>
        <w:ind w:left="1304"/>
      </w:pPr>
    </w:p>
    <w:p w:rsidR="00FF1E42" w:rsidRDefault="00FF1E42" w:rsidP="00FF1E42">
      <w:pPr>
        <w:ind w:left="1304"/>
      </w:pPr>
    </w:p>
    <w:p w:rsidR="00A564FF" w:rsidRPr="00A564FF" w:rsidRDefault="00A564FF" w:rsidP="00A564FF">
      <w:pPr>
        <w:rPr>
          <w:rStyle w:val="Hyperlinkki"/>
          <w:color w:val="auto"/>
          <w:u w:val="none"/>
        </w:rPr>
      </w:pPr>
    </w:p>
    <w:sectPr w:rsidR="00A564FF" w:rsidRPr="00A564FF" w:rsidSect="004D15F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567" w:bottom="1134" w:left="1134" w:header="90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64" w:rsidRDefault="00253D64" w:rsidP="003600BB">
      <w:r>
        <w:separator/>
      </w:r>
    </w:p>
    <w:p w:rsidR="008B4939" w:rsidRDefault="008B4939"/>
  </w:endnote>
  <w:endnote w:type="continuationSeparator" w:id="0">
    <w:p w:rsidR="00253D64" w:rsidRDefault="00253D64" w:rsidP="003600BB">
      <w:r>
        <w:continuationSeparator/>
      </w:r>
    </w:p>
    <w:p w:rsidR="008B4939" w:rsidRDefault="008B4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CB" w:rsidRDefault="006125CB" w:rsidP="006125CB">
    <w:pPr>
      <w:pStyle w:val="Alatunniste"/>
      <w:jc w:val="center"/>
      <w:rPr>
        <w:b/>
      </w:rPr>
    </w:pPr>
    <w:r w:rsidRPr="006125CB">
      <w:rPr>
        <w:b/>
      </w:rPr>
      <w:t>www.tays.fi</w:t>
    </w:r>
  </w:p>
  <w:p w:rsidR="006125CB" w:rsidRPr="006125CB" w:rsidRDefault="006125CB" w:rsidP="006125CB">
    <w:pPr>
      <w:pStyle w:val="Alatunniste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CF" w:rsidRDefault="00E911CF" w:rsidP="00E911CF">
    <w:pPr>
      <w:pStyle w:val="Alatunniste"/>
      <w:jc w:val="center"/>
      <w:rPr>
        <w:b/>
      </w:rPr>
    </w:pPr>
    <w:r w:rsidRPr="00E911CF">
      <w:rPr>
        <w:b/>
      </w:rPr>
      <w:t>www.tays.fi</w:t>
    </w:r>
  </w:p>
  <w:p w:rsidR="00E911CF" w:rsidRPr="00E911CF" w:rsidRDefault="00E911CF" w:rsidP="00E911CF">
    <w:pPr>
      <w:pStyle w:val="Alatunnist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64" w:rsidRDefault="00253D64" w:rsidP="003600BB">
      <w:r>
        <w:separator/>
      </w:r>
    </w:p>
    <w:p w:rsidR="008B4939" w:rsidRDefault="008B4939"/>
  </w:footnote>
  <w:footnote w:type="continuationSeparator" w:id="0">
    <w:p w:rsidR="00253D64" w:rsidRDefault="00253D64" w:rsidP="003600BB">
      <w:r>
        <w:continuationSeparator/>
      </w:r>
    </w:p>
    <w:p w:rsidR="008B4939" w:rsidRDefault="008B4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64" w:rsidRPr="00550CE5" w:rsidRDefault="00A20C64" w:rsidP="00C267B9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  <w:r w:rsidRPr="00550CE5">
      <w:rPr>
        <w:rFonts w:cs="Arial"/>
        <w:noProof/>
        <w:lang w:eastAsia="fi-FI"/>
      </w:rPr>
      <w:drawing>
        <wp:anchor distT="0" distB="0" distL="114300" distR="114300" simplePos="0" relativeHeight="251660288" behindDoc="1" locked="0" layoutInCell="1" allowOverlap="1" wp14:anchorId="51103B37" wp14:editId="76BC9F18">
          <wp:simplePos x="0" y="0"/>
          <wp:positionH relativeFrom="column">
            <wp:posOffset>-423</wp:posOffset>
          </wp:positionH>
          <wp:positionV relativeFrom="paragraph">
            <wp:posOffset>-212</wp:posOffset>
          </wp:positionV>
          <wp:extent cx="1303655" cy="525145"/>
          <wp:effectExtent l="0" t="0" r="0" b="8255"/>
          <wp:wrapNone/>
          <wp:docPr id="2" name="Kuva 2" descr="Tays_mustaharmaa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ys_mustaharmaa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CE5">
      <w:rPr>
        <w:rFonts w:cs="Arial"/>
      </w:rPr>
      <w:tab/>
    </w:r>
    <w:r w:rsidRPr="00550CE5">
      <w:rPr>
        <w:rFonts w:cs="Arial"/>
      </w:rPr>
      <w:tab/>
    </w:r>
    <w:r w:rsidR="00C267B9">
      <w:rPr>
        <w:b/>
        <w:sz w:val="20"/>
        <w:lang w:bidi="ru-RU"/>
      </w:rPr>
      <w:t xml:space="preserve">Инструкции для пациента      </w:t>
    </w:r>
    <w:r w:rsidRPr="00550CE5">
      <w:rPr>
        <w:rFonts w:cs="Arial"/>
      </w:rPr>
      <w:tab/>
    </w:r>
    <w:r w:rsidRPr="00550CE5">
      <w:rPr>
        <w:rFonts w:cs="Arial"/>
      </w:rPr>
      <w:fldChar w:fldCharType="begin"/>
    </w:r>
    <w:r w:rsidRPr="00550CE5">
      <w:rPr>
        <w:rFonts w:cs="Arial"/>
      </w:rPr>
      <w:instrText xml:space="preserve"> PAGE   \* MERGEFORMAT </w:instrText>
    </w:r>
    <w:r w:rsidRPr="00550CE5">
      <w:rPr>
        <w:rFonts w:cs="Arial"/>
      </w:rPr>
      <w:fldChar w:fldCharType="separate"/>
    </w:r>
    <w:r w:rsidR="00663BC2">
      <w:rPr>
        <w:rFonts w:cs="Arial"/>
        <w:noProof/>
      </w:rPr>
      <w:t>1</w:t>
    </w:r>
    <w:r w:rsidRPr="00550CE5">
      <w:rPr>
        <w:rFonts w:cs="Arial"/>
      </w:rPr>
      <w:fldChar w:fldCharType="end"/>
    </w:r>
    <w:r w:rsidRPr="00550CE5">
      <w:rPr>
        <w:rFonts w:cs="Arial"/>
      </w:rPr>
      <w:t xml:space="preserve"> (</w:t>
    </w:r>
    <w:r w:rsidRPr="00550CE5">
      <w:rPr>
        <w:rFonts w:cs="Arial"/>
      </w:rPr>
      <w:fldChar w:fldCharType="begin"/>
    </w:r>
    <w:r w:rsidRPr="00550CE5">
      <w:rPr>
        <w:rFonts w:cs="Arial"/>
      </w:rPr>
      <w:instrText xml:space="preserve"> NUMPAGES  </w:instrText>
    </w:r>
    <w:r w:rsidRPr="00550CE5">
      <w:rPr>
        <w:rFonts w:cs="Arial"/>
      </w:rPr>
      <w:fldChar w:fldCharType="separate"/>
    </w:r>
    <w:r w:rsidR="00663BC2">
      <w:rPr>
        <w:rFonts w:cs="Arial"/>
        <w:noProof/>
      </w:rPr>
      <w:t>2</w:t>
    </w:r>
    <w:r w:rsidRPr="00550CE5">
      <w:rPr>
        <w:rFonts w:cs="Arial"/>
      </w:rPr>
      <w:fldChar w:fldCharType="end"/>
    </w:r>
    <w:r w:rsidRPr="00550CE5">
      <w:rPr>
        <w:rFonts w:cs="Arial"/>
      </w:rPr>
      <w:t>)</w:t>
    </w:r>
  </w:p>
  <w:p w:rsidR="00A20C64" w:rsidRPr="00550CE5" w:rsidRDefault="00A20C64" w:rsidP="00A20C64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A20C64" w:rsidRPr="00550CE5" w:rsidRDefault="00A20C64" w:rsidP="00A20C64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A20C64" w:rsidRPr="00550CE5" w:rsidRDefault="00A20C64" w:rsidP="00A20C64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A20C64" w:rsidRDefault="00C267B9">
    <w:pPr>
      <w:pStyle w:val="Yltunniste"/>
    </w:pPr>
    <w:r>
      <w:rPr>
        <w:sz w:val="20"/>
        <w:lang w:bidi="ru-RU"/>
      </w:rPr>
      <w:t>Радиология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BB" w:rsidRPr="00550CE5" w:rsidRDefault="00253D64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  <w:r w:rsidRPr="00550CE5">
      <w:rPr>
        <w:rFonts w:cs="Arial"/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-423</wp:posOffset>
          </wp:positionH>
          <wp:positionV relativeFrom="paragraph">
            <wp:posOffset>-212</wp:posOffset>
          </wp:positionV>
          <wp:extent cx="1303655" cy="525145"/>
          <wp:effectExtent l="0" t="0" r="0" b="8255"/>
          <wp:wrapNone/>
          <wp:docPr id="1" name="Kuva 1" descr="Tays_mustaharmaa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ys_mustaharmaa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CE5">
      <w:rPr>
        <w:rFonts w:cs="Arial"/>
      </w:rPr>
      <w:tab/>
    </w:r>
    <w:r w:rsidR="00550CE5" w:rsidRPr="00550CE5">
      <w:rPr>
        <w:rFonts w:cs="Arial"/>
      </w:rPr>
      <w:tab/>
    </w:r>
    <w:r w:rsidRPr="00550CE5">
      <w:rPr>
        <w:rFonts w:cs="Arial"/>
        <w:b/>
      </w:rPr>
      <w:t>Potilasohje</w:t>
    </w:r>
    <w:r w:rsidR="00D906F8" w:rsidRPr="00550CE5">
      <w:rPr>
        <w:rFonts w:cs="Arial"/>
      </w:rPr>
      <w:tab/>
      <w:t>00.00.00</w:t>
    </w:r>
    <w:r w:rsidR="00D906F8" w:rsidRPr="00550CE5">
      <w:rPr>
        <w:rFonts w:cs="Arial"/>
      </w:rPr>
      <w:tab/>
    </w:r>
    <w:r w:rsidR="00D906F8" w:rsidRPr="00550CE5">
      <w:rPr>
        <w:rFonts w:cs="Arial"/>
      </w:rPr>
      <w:fldChar w:fldCharType="begin"/>
    </w:r>
    <w:r w:rsidR="00D906F8" w:rsidRPr="00550CE5">
      <w:rPr>
        <w:rFonts w:cs="Arial"/>
      </w:rPr>
      <w:instrText xml:space="preserve"> PAGE   \* MERGEFORMAT </w:instrText>
    </w:r>
    <w:r w:rsidR="00D906F8" w:rsidRPr="00550CE5">
      <w:rPr>
        <w:rFonts w:cs="Arial"/>
      </w:rPr>
      <w:fldChar w:fldCharType="separate"/>
    </w:r>
    <w:r w:rsidR="004D15FA">
      <w:rPr>
        <w:rFonts w:cs="Arial"/>
        <w:noProof/>
      </w:rPr>
      <w:t>1</w:t>
    </w:r>
    <w:r w:rsidR="00D906F8" w:rsidRPr="00550CE5">
      <w:rPr>
        <w:rFonts w:cs="Arial"/>
      </w:rPr>
      <w:fldChar w:fldCharType="end"/>
    </w:r>
    <w:r w:rsidR="00D906F8" w:rsidRPr="00550CE5">
      <w:rPr>
        <w:rFonts w:cs="Arial"/>
      </w:rPr>
      <w:t xml:space="preserve"> (</w:t>
    </w:r>
    <w:r w:rsidR="00D906F8" w:rsidRPr="00550CE5">
      <w:rPr>
        <w:rFonts w:cs="Arial"/>
      </w:rPr>
      <w:fldChar w:fldCharType="begin"/>
    </w:r>
    <w:r w:rsidR="00D906F8" w:rsidRPr="00550CE5">
      <w:rPr>
        <w:rFonts w:cs="Arial"/>
      </w:rPr>
      <w:instrText xml:space="preserve"> NUMPAGES  </w:instrText>
    </w:r>
    <w:r w:rsidR="00D906F8" w:rsidRPr="00550CE5">
      <w:rPr>
        <w:rFonts w:cs="Arial"/>
      </w:rPr>
      <w:fldChar w:fldCharType="separate"/>
    </w:r>
    <w:r w:rsidR="004D15FA">
      <w:rPr>
        <w:rFonts w:cs="Arial"/>
        <w:noProof/>
      </w:rPr>
      <w:t>1</w:t>
    </w:r>
    <w:r w:rsidR="00D906F8" w:rsidRPr="00550CE5">
      <w:rPr>
        <w:rFonts w:cs="Arial"/>
      </w:rPr>
      <w:fldChar w:fldCharType="end"/>
    </w:r>
    <w:r w:rsidR="00D906F8" w:rsidRPr="00550CE5">
      <w:rPr>
        <w:rFonts w:cs="Arial"/>
      </w:rPr>
      <w:t>)</w:t>
    </w:r>
  </w:p>
  <w:p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  <w:r w:rsidRPr="00550CE5">
      <w:rPr>
        <w:rFonts w:cs="Arial"/>
      </w:rPr>
      <w:t>Erikoisala</w:t>
    </w:r>
  </w:p>
  <w:p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:rsidR="008B4939" w:rsidRPr="00550CE5" w:rsidRDefault="008B4939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30AD"/>
    <w:multiLevelType w:val="hybridMultilevel"/>
    <w:tmpl w:val="56D48972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6383FC1"/>
    <w:multiLevelType w:val="hybridMultilevel"/>
    <w:tmpl w:val="991EC1F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66DF5731"/>
    <w:multiLevelType w:val="hybridMultilevel"/>
    <w:tmpl w:val="803AC6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2255"/>
    <w:multiLevelType w:val="hybridMultilevel"/>
    <w:tmpl w:val="97169D2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64"/>
    <w:rsid w:val="000516A1"/>
    <w:rsid w:val="001C2AEA"/>
    <w:rsid w:val="001F5A0E"/>
    <w:rsid w:val="00253D64"/>
    <w:rsid w:val="0025797E"/>
    <w:rsid w:val="003600BB"/>
    <w:rsid w:val="004B3CE8"/>
    <w:rsid w:val="004D15FA"/>
    <w:rsid w:val="00550CE5"/>
    <w:rsid w:val="006125CB"/>
    <w:rsid w:val="00663BC2"/>
    <w:rsid w:val="007D196E"/>
    <w:rsid w:val="00817ABA"/>
    <w:rsid w:val="008B4939"/>
    <w:rsid w:val="00A14C7F"/>
    <w:rsid w:val="00A20C64"/>
    <w:rsid w:val="00A564FF"/>
    <w:rsid w:val="00C267B9"/>
    <w:rsid w:val="00D761BF"/>
    <w:rsid w:val="00D906F8"/>
    <w:rsid w:val="00DB2D41"/>
    <w:rsid w:val="00E911CF"/>
    <w:rsid w:val="00E93717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D8A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ABA"/>
    <w:pPr>
      <w:tabs>
        <w:tab w:val="left" w:pos="1304"/>
      </w:tabs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06F8"/>
    <w:pPr>
      <w:keepNext/>
      <w:keepLines/>
      <w:spacing w:before="6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0CE5"/>
    <w:pPr>
      <w:keepNext/>
      <w:keepLines/>
      <w:spacing w:before="240" w:after="180"/>
      <w:outlineLvl w:val="1"/>
    </w:pPr>
    <w:rPr>
      <w:rFonts w:eastAsiaTheme="majorEastAsia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64FF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qFormat/>
    <w:rsid w:val="003600B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D906F8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50CE5"/>
    <w:rPr>
      <w:rFonts w:ascii="Arial" w:eastAsiaTheme="majorEastAsia" w:hAnsi="Arial" w:cstheme="majorBidi"/>
      <w:b/>
      <w:szCs w:val="26"/>
    </w:rPr>
  </w:style>
  <w:style w:type="character" w:styleId="Hyperlinkki">
    <w:name w:val="Hyperlink"/>
    <w:basedOn w:val="Kappaleenoletusfontti"/>
    <w:uiPriority w:val="99"/>
    <w:unhideWhenUsed/>
    <w:rsid w:val="0025797E"/>
    <w:rPr>
      <w:rFonts w:ascii="Arial" w:hAnsi="Arial"/>
      <w:color w:val="0563C1" w:themeColor="hyperlink"/>
      <w:sz w:val="22"/>
      <w:u w:val="single"/>
    </w:rPr>
  </w:style>
  <w:style w:type="paragraph" w:styleId="Luettelokappale">
    <w:name w:val="List Paragraph"/>
    <w:basedOn w:val="Normaali"/>
    <w:uiPriority w:val="34"/>
    <w:qFormat/>
    <w:rsid w:val="00A564F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A564FF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Magneettitutkimus_venäjä</vt:lpstr>
    </vt:vector>
  </TitlesOfParts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Magneettitutkimus_venäjä</dc:title>
  <dc:subject/>
  <dc:creator/>
  <cp:keywords/>
  <dc:description/>
  <cp:lastModifiedBy/>
  <cp:revision>1</cp:revision>
  <dcterms:created xsi:type="dcterms:W3CDTF">2022-10-25T05:22:00Z</dcterms:created>
  <dcterms:modified xsi:type="dcterms:W3CDTF">2022-10-25T05:22:00Z</dcterms:modified>
</cp:coreProperties>
</file>