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41370" w14:textId="77777777" w:rsidR="00F90D1F" w:rsidRPr="00E31327" w:rsidRDefault="00F90D1F" w:rsidP="00F90D1F">
      <w:pPr>
        <w:pStyle w:val="Otsikko1"/>
        <w:rPr>
          <w:sz w:val="24"/>
          <w:szCs w:val="18"/>
        </w:rPr>
      </w:pPr>
      <w:r w:rsidRPr="00E31327">
        <w:rPr>
          <w:sz w:val="24"/>
          <w:szCs w:val="18"/>
          <w:lang w:bidi="uk-UA"/>
        </w:rPr>
        <w:t>Магнітно-резонансна томографія</w:t>
      </w:r>
    </w:p>
    <w:p w14:paraId="75CA7A2A" w14:textId="77777777" w:rsidR="00F90D1F" w:rsidRPr="00E31327" w:rsidRDefault="00F90D1F" w:rsidP="00F90D1F">
      <w:pPr>
        <w:ind w:left="1304"/>
        <w:rPr>
          <w:sz w:val="20"/>
          <w:szCs w:val="18"/>
        </w:rPr>
      </w:pPr>
      <w:r w:rsidRPr="00E31327">
        <w:rPr>
          <w:sz w:val="20"/>
          <w:szCs w:val="18"/>
          <w:lang w:bidi="uk-UA"/>
        </w:rPr>
        <w:t>Магнітно-резонансна томографія — метод візуалізації, заснований на магнітних властивостях організму. У дослідженні не використовується рентгенівське випромінювання. Дослідження безболісне і займає близько 30-90 хвилин. Під час дослідження можуть ввести контрастне посилення у вену на руці.</w:t>
      </w:r>
    </w:p>
    <w:p w14:paraId="73BD8C39" w14:textId="77777777" w:rsidR="00F90D1F" w:rsidRPr="00E31327" w:rsidRDefault="00F90D1F" w:rsidP="00F90D1F">
      <w:pPr>
        <w:ind w:left="1304"/>
        <w:rPr>
          <w:sz w:val="20"/>
          <w:szCs w:val="18"/>
        </w:rPr>
      </w:pPr>
    </w:p>
    <w:p w14:paraId="49B9675C" w14:textId="77777777" w:rsidR="00F90D1F" w:rsidRPr="00E31327" w:rsidRDefault="00F90D1F" w:rsidP="00F90D1F">
      <w:pPr>
        <w:ind w:left="1304"/>
        <w:rPr>
          <w:sz w:val="20"/>
          <w:szCs w:val="18"/>
        </w:rPr>
      </w:pPr>
      <w:r w:rsidRPr="00E31327">
        <w:rPr>
          <w:sz w:val="20"/>
          <w:szCs w:val="18"/>
          <w:lang w:bidi="uk-UA"/>
        </w:rPr>
        <w:t>На час візуалізації вас помістять на стіл для досліджень в трубчастий пристрій для візуалізації, який освітлюється та вентилюється. Пристрій для візуалізації видає досить голосне клацання під час серій знімків, і тому вам дадуть навушники для захисту слуху. Під час дослідження, залежно від об'єкта візуалізації, як правило, можна слухати радіо або, альтернативно, ви можете взяти з собою власний компакт-диск для прослуховування. Рентгенологічні медсестри підтримують з вами зоровий, слуховий і голосовий контакт протягом усього часу дослідження.</w:t>
      </w:r>
    </w:p>
    <w:p w14:paraId="68BF099D" w14:textId="77777777" w:rsidR="00F90D1F" w:rsidRPr="00E31327" w:rsidRDefault="00F90D1F" w:rsidP="00F90D1F">
      <w:pPr>
        <w:ind w:left="1304"/>
        <w:rPr>
          <w:sz w:val="20"/>
          <w:szCs w:val="18"/>
        </w:rPr>
      </w:pPr>
    </w:p>
    <w:p w14:paraId="03E0BA09" w14:textId="77777777" w:rsidR="00F90D1F" w:rsidRPr="00E31327" w:rsidRDefault="00F90D1F" w:rsidP="00F90D1F">
      <w:pPr>
        <w:ind w:left="1304"/>
        <w:rPr>
          <w:sz w:val="20"/>
          <w:szCs w:val="18"/>
        </w:rPr>
      </w:pPr>
      <w:r w:rsidRPr="00E31327">
        <w:rPr>
          <w:sz w:val="20"/>
          <w:szCs w:val="18"/>
          <w:lang w:bidi="uk-UA"/>
        </w:rPr>
        <w:t>При необхідності супроводжуючий може бути з вами в кабінеті для візуалізації.</w:t>
      </w:r>
    </w:p>
    <w:p w14:paraId="5F4D9142" w14:textId="77777777" w:rsidR="00F90D1F" w:rsidRPr="00E31327" w:rsidRDefault="00F90D1F" w:rsidP="00F90D1F">
      <w:pPr>
        <w:ind w:left="1304"/>
        <w:rPr>
          <w:sz w:val="20"/>
          <w:szCs w:val="18"/>
        </w:rPr>
      </w:pPr>
    </w:p>
    <w:p w14:paraId="3DCA6E56" w14:textId="77777777" w:rsidR="00F90D1F" w:rsidRPr="00E31327" w:rsidRDefault="00F90D1F" w:rsidP="00F90D1F">
      <w:pPr>
        <w:ind w:left="1304"/>
        <w:rPr>
          <w:sz w:val="20"/>
          <w:szCs w:val="18"/>
        </w:rPr>
      </w:pPr>
      <w:r w:rsidRPr="00E31327">
        <w:rPr>
          <w:sz w:val="20"/>
          <w:szCs w:val="18"/>
          <w:lang w:bidi="uk-UA"/>
        </w:rPr>
        <w:t xml:space="preserve">Заповніть анкету попередньої інформації, що додається, та візьміть її з собою на дослідження. </w:t>
      </w:r>
    </w:p>
    <w:p w14:paraId="19F7BF86" w14:textId="77777777" w:rsidR="00F90D1F" w:rsidRPr="00E31327" w:rsidRDefault="00F90D1F" w:rsidP="00F90D1F">
      <w:pPr>
        <w:ind w:left="1304"/>
        <w:rPr>
          <w:sz w:val="20"/>
          <w:szCs w:val="18"/>
        </w:rPr>
      </w:pPr>
      <w:r w:rsidRPr="00E31327">
        <w:rPr>
          <w:sz w:val="20"/>
          <w:szCs w:val="18"/>
          <w:lang w:bidi="uk-UA"/>
        </w:rPr>
        <w:t>У випадку</w:t>
      </w:r>
      <w:r w:rsidRPr="00E31327">
        <w:rPr>
          <w:b/>
          <w:sz w:val="20"/>
          <w:szCs w:val="18"/>
          <w:lang w:bidi="uk-UA"/>
        </w:rPr>
        <w:t xml:space="preserve"> пацієнтів із кардіостимулятором </w:t>
      </w:r>
      <w:r w:rsidRPr="00E31327">
        <w:rPr>
          <w:sz w:val="20"/>
          <w:szCs w:val="18"/>
          <w:lang w:bidi="uk-UA"/>
        </w:rPr>
        <w:t xml:space="preserve">відділення, яке направляє, повинно заздалегідь визначити магнітну придатність кардіостимулятора перед кожним відвідуванням магнітного дослідження. </w:t>
      </w:r>
    </w:p>
    <w:p w14:paraId="507B28D5" w14:textId="77777777" w:rsidR="00F90D1F" w:rsidRPr="00E31327" w:rsidRDefault="00F90D1F" w:rsidP="00F90D1F">
      <w:pPr>
        <w:pStyle w:val="Otsikko2"/>
        <w:rPr>
          <w:sz w:val="20"/>
          <w:szCs w:val="24"/>
        </w:rPr>
      </w:pPr>
      <w:r w:rsidRPr="00E31327">
        <w:rPr>
          <w:sz w:val="20"/>
          <w:szCs w:val="24"/>
          <w:lang w:bidi="uk-UA"/>
        </w:rPr>
        <w:t>Підготовка</w:t>
      </w:r>
    </w:p>
    <w:p w14:paraId="1FDA5337" w14:textId="77777777" w:rsidR="00F90D1F" w:rsidRPr="00E31327" w:rsidRDefault="00F90D1F" w:rsidP="00F90D1F">
      <w:pPr>
        <w:numPr>
          <w:ilvl w:val="0"/>
          <w:numId w:val="1"/>
        </w:numPr>
        <w:rPr>
          <w:sz w:val="20"/>
          <w:szCs w:val="18"/>
        </w:rPr>
      </w:pPr>
      <w:r w:rsidRPr="00E31327">
        <w:rPr>
          <w:sz w:val="20"/>
          <w:szCs w:val="18"/>
          <w:lang w:bidi="uk-UA"/>
        </w:rPr>
        <w:t>Перед приходом на дослідження черевної порожнини, таза і всього тіла, не можна їсти протягом чотирьох годин.</w:t>
      </w:r>
    </w:p>
    <w:p w14:paraId="15B724AC" w14:textId="77777777" w:rsidR="00F90D1F" w:rsidRPr="00E31327" w:rsidRDefault="00F90D1F" w:rsidP="00F90D1F">
      <w:pPr>
        <w:numPr>
          <w:ilvl w:val="0"/>
          <w:numId w:val="1"/>
        </w:numPr>
        <w:rPr>
          <w:sz w:val="20"/>
          <w:szCs w:val="18"/>
        </w:rPr>
      </w:pPr>
      <w:r w:rsidRPr="00E31327">
        <w:rPr>
          <w:sz w:val="20"/>
          <w:szCs w:val="18"/>
          <w:lang w:bidi="uk-UA"/>
        </w:rPr>
        <w:t>При візуалізації передміхурової залози пряма кишка повинна бути максимально порожньою перед дослідженням.</w:t>
      </w:r>
    </w:p>
    <w:p w14:paraId="2E069D19" w14:textId="77777777" w:rsidR="00F90D1F" w:rsidRPr="00E31327" w:rsidRDefault="00F90D1F" w:rsidP="00F90D1F">
      <w:pPr>
        <w:numPr>
          <w:ilvl w:val="0"/>
          <w:numId w:val="1"/>
        </w:numPr>
        <w:rPr>
          <w:sz w:val="20"/>
          <w:szCs w:val="18"/>
        </w:rPr>
      </w:pPr>
      <w:r w:rsidRPr="00E31327">
        <w:rPr>
          <w:sz w:val="20"/>
          <w:szCs w:val="18"/>
          <w:lang w:bidi="uk-UA"/>
        </w:rPr>
        <w:t>Для візуалізації тонкої кишки дорослим не можна їсти протягом восьми годин.</w:t>
      </w:r>
    </w:p>
    <w:p w14:paraId="4EC58DEA" w14:textId="77777777" w:rsidR="00F90D1F" w:rsidRPr="00E31327" w:rsidRDefault="00F90D1F" w:rsidP="00F90D1F">
      <w:pPr>
        <w:rPr>
          <w:sz w:val="20"/>
          <w:szCs w:val="18"/>
        </w:rPr>
      </w:pPr>
    </w:p>
    <w:p w14:paraId="0BE22EF1" w14:textId="77777777" w:rsidR="00F90D1F" w:rsidRPr="00E31327" w:rsidRDefault="00F90D1F" w:rsidP="00F90D1F">
      <w:pPr>
        <w:numPr>
          <w:ilvl w:val="0"/>
          <w:numId w:val="1"/>
        </w:numPr>
        <w:rPr>
          <w:sz w:val="20"/>
          <w:szCs w:val="18"/>
        </w:rPr>
      </w:pPr>
      <w:r w:rsidRPr="00E31327">
        <w:rPr>
          <w:sz w:val="20"/>
          <w:szCs w:val="18"/>
          <w:lang w:bidi="uk-UA"/>
        </w:rPr>
        <w:t>Для візуалізації тонкої кишки дітям не можна їсти протягом чотирьох годин.</w:t>
      </w:r>
    </w:p>
    <w:p w14:paraId="7F2F7A5C" w14:textId="77777777" w:rsidR="00F90D1F" w:rsidRPr="00E31327" w:rsidRDefault="00F90D1F" w:rsidP="00F90D1F">
      <w:pPr>
        <w:numPr>
          <w:ilvl w:val="0"/>
          <w:numId w:val="1"/>
        </w:numPr>
        <w:rPr>
          <w:sz w:val="20"/>
          <w:szCs w:val="18"/>
        </w:rPr>
      </w:pPr>
      <w:r w:rsidRPr="00E31327">
        <w:rPr>
          <w:sz w:val="20"/>
          <w:szCs w:val="18"/>
          <w:lang w:bidi="uk-UA"/>
        </w:rPr>
        <w:t>Дітям не можна їсти протягом двох-трьох годин перед проведенням дослідження всього тіла без анестезії. Не можна їсти протягом чотирьох-шести годин перед візуалізацією всього тіла під анестезією.</w:t>
      </w:r>
    </w:p>
    <w:p w14:paraId="5B761F12" w14:textId="77777777" w:rsidR="00F90D1F" w:rsidRPr="00E31327" w:rsidRDefault="00F90D1F" w:rsidP="00F90D1F">
      <w:pPr>
        <w:rPr>
          <w:sz w:val="20"/>
          <w:szCs w:val="18"/>
        </w:rPr>
      </w:pPr>
    </w:p>
    <w:p w14:paraId="5D92D4EC" w14:textId="77777777" w:rsidR="00F90D1F" w:rsidRPr="00E31327" w:rsidRDefault="00F90D1F" w:rsidP="00F90D1F">
      <w:pPr>
        <w:numPr>
          <w:ilvl w:val="0"/>
          <w:numId w:val="1"/>
        </w:numPr>
        <w:rPr>
          <w:sz w:val="20"/>
          <w:szCs w:val="18"/>
        </w:rPr>
      </w:pPr>
      <w:r w:rsidRPr="00E31327">
        <w:rPr>
          <w:sz w:val="20"/>
          <w:szCs w:val="18"/>
          <w:lang w:bidi="uk-UA"/>
        </w:rPr>
        <w:t xml:space="preserve">Ви можете випити невелику кількість води і прийняти ліки. </w:t>
      </w:r>
    </w:p>
    <w:p w14:paraId="64FF4457" w14:textId="77777777" w:rsidR="00F90D1F" w:rsidRPr="00E31327" w:rsidRDefault="00F90D1F" w:rsidP="00F90D1F">
      <w:pPr>
        <w:rPr>
          <w:sz w:val="20"/>
          <w:szCs w:val="18"/>
        </w:rPr>
      </w:pPr>
    </w:p>
    <w:p w14:paraId="2FED98F2" w14:textId="77777777" w:rsidR="00F90D1F" w:rsidRPr="00E31327" w:rsidRDefault="00F90D1F" w:rsidP="00F90D1F">
      <w:pPr>
        <w:numPr>
          <w:ilvl w:val="0"/>
          <w:numId w:val="1"/>
        </w:numPr>
        <w:rPr>
          <w:sz w:val="20"/>
          <w:szCs w:val="18"/>
        </w:rPr>
      </w:pPr>
      <w:r w:rsidRPr="00E31327">
        <w:rPr>
          <w:sz w:val="20"/>
          <w:szCs w:val="18"/>
          <w:lang w:bidi="uk-UA"/>
        </w:rPr>
        <w:t>При іншій магнітно-резонансній томографії (голови, шийного, грудного та поперекового відділів хребта, суглобів) голодувати не потрібно.</w:t>
      </w:r>
    </w:p>
    <w:p w14:paraId="49113F80" w14:textId="77777777" w:rsidR="00F90D1F" w:rsidRPr="00E31327" w:rsidRDefault="00F90D1F" w:rsidP="00F90D1F">
      <w:pPr>
        <w:rPr>
          <w:sz w:val="20"/>
          <w:szCs w:val="18"/>
        </w:rPr>
      </w:pPr>
    </w:p>
    <w:p w14:paraId="35BDE532" w14:textId="77777777" w:rsidR="00F90D1F" w:rsidRPr="00E31327" w:rsidRDefault="00F90D1F" w:rsidP="00F90D1F">
      <w:pPr>
        <w:rPr>
          <w:sz w:val="20"/>
          <w:szCs w:val="18"/>
        </w:rPr>
      </w:pPr>
    </w:p>
    <w:p w14:paraId="510E84E2" w14:textId="77777777" w:rsidR="00F90D1F" w:rsidRPr="00E31327" w:rsidRDefault="00F90D1F" w:rsidP="00F90D1F">
      <w:pPr>
        <w:pStyle w:val="Luettelokappale"/>
        <w:numPr>
          <w:ilvl w:val="0"/>
          <w:numId w:val="3"/>
        </w:numPr>
        <w:rPr>
          <w:sz w:val="20"/>
          <w:szCs w:val="18"/>
        </w:rPr>
      </w:pPr>
      <w:r w:rsidRPr="00E31327">
        <w:rPr>
          <w:sz w:val="20"/>
          <w:szCs w:val="18"/>
          <w:lang w:bidi="uk-UA"/>
        </w:rPr>
        <w:t>При візуалізації зони голови та шиї сильний макіяж очей заважає дослідженню.</w:t>
      </w:r>
    </w:p>
    <w:p w14:paraId="350CA426" w14:textId="77777777" w:rsidR="00F90D1F" w:rsidRPr="00E31327" w:rsidRDefault="00F90D1F" w:rsidP="00F90D1F">
      <w:pPr>
        <w:pStyle w:val="Luettelokappale"/>
        <w:numPr>
          <w:ilvl w:val="0"/>
          <w:numId w:val="3"/>
        </w:numPr>
        <w:rPr>
          <w:sz w:val="20"/>
          <w:szCs w:val="18"/>
        </w:rPr>
      </w:pPr>
      <w:r w:rsidRPr="00E31327">
        <w:rPr>
          <w:sz w:val="20"/>
          <w:szCs w:val="18"/>
          <w:lang w:bidi="uk-UA"/>
        </w:rPr>
        <w:t>Перед початком магнітно-резонансній томографії необхідно зняти датчик вимірювання глюкози. При нетермінових дослідженнях можна спробувати приурочити магнітно-резонансну томографію до моменту заміни датчика. З питань запису на прийом можна звертатися до секретаря, який відповідає за питання магнітно-резонансної томографії.</w:t>
      </w:r>
    </w:p>
    <w:p w14:paraId="41021BAC" w14:textId="77777777" w:rsidR="00F90D1F" w:rsidRPr="00E31327" w:rsidRDefault="00F90D1F" w:rsidP="00F90D1F">
      <w:pPr>
        <w:pStyle w:val="Luettelokappale"/>
        <w:numPr>
          <w:ilvl w:val="0"/>
          <w:numId w:val="3"/>
        </w:numPr>
        <w:spacing w:after="160" w:line="259" w:lineRule="auto"/>
        <w:rPr>
          <w:sz w:val="20"/>
          <w:szCs w:val="18"/>
        </w:rPr>
      </w:pPr>
      <w:r w:rsidRPr="00E31327">
        <w:rPr>
          <w:sz w:val="20"/>
          <w:szCs w:val="18"/>
          <w:lang w:bidi="uk-UA"/>
        </w:rPr>
        <w:t xml:space="preserve">Металеві предмети, такі як ювелірні прикраси, пірсинг, вії, прикріплені на магнітах та годинники, необхідно зняти перед дослідженням. У роздягальні є шафа для цінних речей, що замикається. </w:t>
      </w:r>
    </w:p>
    <w:p w14:paraId="08EC7579" w14:textId="77777777" w:rsidR="00F90D1F" w:rsidRPr="00F90D1F" w:rsidRDefault="00F90D1F" w:rsidP="00F90D1F"/>
    <w:p w14:paraId="72634A37" w14:textId="77777777" w:rsidR="00F90D1F" w:rsidRPr="00F90D1F" w:rsidRDefault="00F90D1F" w:rsidP="00F90D1F">
      <w:pPr>
        <w:ind w:left="1304"/>
      </w:pPr>
    </w:p>
    <w:p w14:paraId="5EE4B493" w14:textId="77777777" w:rsidR="00C42C69" w:rsidRPr="00F90D1F" w:rsidRDefault="00C42C69" w:rsidP="00F90D1F">
      <w:pPr>
        <w:ind w:left="1304"/>
      </w:pPr>
    </w:p>
    <w:sectPr w:rsidR="00C42C69" w:rsidRPr="00F90D1F" w:rsidSect="009F1A23">
      <w:headerReference w:type="default" r:id="rId7"/>
      <w:footerReference w:type="default" r:id="rId8"/>
      <w:pgSz w:w="11906" w:h="16838" w:code="9"/>
      <w:pgMar w:top="2268" w:right="567" w:bottom="1134" w:left="1134" w:header="907" w:footer="3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39093" w14:textId="77777777" w:rsidR="00534A3C" w:rsidRDefault="00534A3C">
      <w:r>
        <w:separator/>
      </w:r>
    </w:p>
  </w:endnote>
  <w:endnote w:type="continuationSeparator" w:id="0">
    <w:p w14:paraId="73486E09" w14:textId="77777777" w:rsidR="00534A3C" w:rsidRDefault="00534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15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915"/>
    </w:tblGrid>
    <w:tr w:rsidR="00065EF2" w:rsidRPr="00F90D1F" w14:paraId="2A7E45A5" w14:textId="77777777">
      <w:trPr>
        <w:cantSplit/>
      </w:trPr>
      <w:tc>
        <w:tcPr>
          <w:tcW w:w="9915" w:type="dxa"/>
        </w:tcPr>
        <w:p w14:paraId="61D10373" w14:textId="77777777" w:rsidR="00065EF2" w:rsidRPr="00F90D1F" w:rsidRDefault="00065EF2" w:rsidP="00F90D1F">
          <w:pPr>
            <w:pStyle w:val="Alatunniste"/>
            <w:rPr>
              <w:rStyle w:val="zContactInfo"/>
            </w:rPr>
          </w:pPr>
        </w:p>
      </w:tc>
    </w:tr>
    <w:tr w:rsidR="00065EF2" w:rsidRPr="00F90D1F" w14:paraId="1996626A" w14:textId="77777777">
      <w:trPr>
        <w:cantSplit/>
      </w:trPr>
      <w:tc>
        <w:tcPr>
          <w:tcW w:w="9915" w:type="dxa"/>
        </w:tcPr>
        <w:p w14:paraId="49428FE0" w14:textId="77777777" w:rsidR="00065EF2" w:rsidRPr="00F90D1F" w:rsidRDefault="00812809" w:rsidP="00F90D1F">
          <w:pPr>
            <w:pStyle w:val="Alatunniste"/>
            <w:spacing w:before="60"/>
            <w:jc w:val="center"/>
            <w:rPr>
              <w:rStyle w:val="zContactInfo"/>
            </w:rPr>
          </w:pPr>
          <w:r w:rsidRPr="00F90D1F">
            <w:rPr>
              <w:rStyle w:val="zContactInfo"/>
              <w:lang w:val="uk-UA" w:bidi="uk-UA"/>
            </w:rPr>
            <w:t>www.tays.fi</w:t>
          </w:r>
        </w:p>
      </w:tc>
    </w:tr>
  </w:tbl>
  <w:p w14:paraId="394A2E69" w14:textId="77777777" w:rsidR="00065EF2" w:rsidRPr="00F90D1F" w:rsidRDefault="00065EF2" w:rsidP="00F90D1F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92658" w14:textId="77777777" w:rsidR="00534A3C" w:rsidRDefault="00534A3C">
      <w:r>
        <w:separator/>
      </w:r>
    </w:p>
  </w:footnote>
  <w:footnote w:type="continuationSeparator" w:id="0">
    <w:p w14:paraId="63117FB9" w14:textId="77777777" w:rsidR="00534A3C" w:rsidRDefault="00534A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34" w:type="dxa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5557"/>
      <w:gridCol w:w="1842"/>
      <w:gridCol w:w="1701"/>
      <w:gridCol w:w="1134"/>
    </w:tblGrid>
    <w:tr w:rsidR="00065EF2" w:rsidRPr="00F90D1F" w14:paraId="6FAFFEB0" w14:textId="77777777">
      <w:trPr>
        <w:cantSplit/>
        <w:trHeight w:val="993"/>
      </w:trPr>
      <w:tc>
        <w:tcPr>
          <w:tcW w:w="5557" w:type="dxa"/>
        </w:tcPr>
        <w:p w14:paraId="275F1203" w14:textId="77777777" w:rsidR="00065EF2" w:rsidRPr="00F90D1F" w:rsidRDefault="00452F3C" w:rsidP="00F90D1F">
          <w:pPr>
            <w:pStyle w:val="Yltunniste"/>
          </w:pPr>
          <w:r w:rsidRPr="00F90D1F">
            <w:rPr>
              <w:noProof/>
              <w:lang w:bidi="uk-UA"/>
            </w:rPr>
            <w:drawing>
              <wp:inline distT="0" distB="0" distL="0" distR="0" wp14:anchorId="018E7745" wp14:editId="518234AF">
                <wp:extent cx="2263140" cy="480060"/>
                <wp:effectExtent l="0" t="0" r="0" b="0"/>
                <wp:docPr id="1" name="Kuva 1" descr="AKUN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KUN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contrast="40000"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384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63140" cy="48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542CCBE" w14:textId="77777777" w:rsidR="007556C0" w:rsidRPr="00F90D1F" w:rsidRDefault="007556C0" w:rsidP="00F90D1F">
          <w:pPr>
            <w:pStyle w:val="Yltunniste"/>
          </w:pPr>
        </w:p>
      </w:tc>
      <w:tc>
        <w:tcPr>
          <w:tcW w:w="1842" w:type="dxa"/>
        </w:tcPr>
        <w:p w14:paraId="6EB54BB8" w14:textId="77777777" w:rsidR="00065EF2" w:rsidRPr="00F90D1F" w:rsidRDefault="00C42C69" w:rsidP="00F90D1F">
          <w:pPr>
            <w:pStyle w:val="Yltunniste"/>
            <w:rPr>
              <w:b/>
              <w:sz w:val="20"/>
            </w:rPr>
          </w:pPr>
          <w:bookmarkStart w:id="0" w:name="zDocumentName"/>
          <w:bookmarkStart w:id="1" w:name="zDocumentNumber"/>
          <w:bookmarkEnd w:id="0"/>
          <w:bookmarkEnd w:id="1"/>
          <w:r w:rsidRPr="00F90D1F">
            <w:rPr>
              <w:b/>
              <w:sz w:val="20"/>
              <w:lang w:bidi="uk-UA"/>
            </w:rPr>
            <w:t xml:space="preserve">Інструкції для пацієнта </w:t>
          </w:r>
        </w:p>
      </w:tc>
      <w:tc>
        <w:tcPr>
          <w:tcW w:w="1701" w:type="dxa"/>
        </w:tcPr>
        <w:p w14:paraId="3C26C29D" w14:textId="77777777" w:rsidR="00065EF2" w:rsidRPr="00F90D1F" w:rsidRDefault="00065EF2" w:rsidP="00F90D1F">
          <w:pPr>
            <w:pStyle w:val="Yltunniste"/>
            <w:rPr>
              <w:sz w:val="20"/>
            </w:rPr>
          </w:pPr>
        </w:p>
      </w:tc>
      <w:tc>
        <w:tcPr>
          <w:tcW w:w="1134" w:type="dxa"/>
        </w:tcPr>
        <w:p w14:paraId="3604C2C0" w14:textId="77777777" w:rsidR="00065EF2" w:rsidRPr="00F90D1F" w:rsidRDefault="00065EF2" w:rsidP="00F90D1F">
          <w:pPr>
            <w:pStyle w:val="Yltunniste"/>
            <w:ind w:left="255"/>
            <w:rPr>
              <w:sz w:val="20"/>
            </w:rPr>
          </w:pPr>
          <w:r w:rsidRPr="00F90D1F">
            <w:rPr>
              <w:rStyle w:val="Sivunumero"/>
              <w:sz w:val="20"/>
              <w:lang w:bidi="uk-UA"/>
            </w:rPr>
            <w:fldChar w:fldCharType="begin"/>
          </w:r>
          <w:r w:rsidRPr="00F90D1F">
            <w:rPr>
              <w:rStyle w:val="Sivunumero"/>
              <w:sz w:val="20"/>
              <w:lang w:bidi="uk-UA"/>
            </w:rPr>
            <w:instrText xml:space="preserve"> PAGE </w:instrText>
          </w:r>
          <w:r w:rsidRPr="00F90D1F">
            <w:rPr>
              <w:rStyle w:val="Sivunumero"/>
              <w:sz w:val="20"/>
              <w:lang w:bidi="uk-UA"/>
            </w:rPr>
            <w:fldChar w:fldCharType="separate"/>
          </w:r>
          <w:r w:rsidR="00623D1C" w:rsidRPr="00F90D1F">
            <w:rPr>
              <w:rStyle w:val="Sivunumero"/>
              <w:noProof/>
              <w:sz w:val="20"/>
              <w:lang w:bidi="uk-UA"/>
            </w:rPr>
            <w:t>1</w:t>
          </w:r>
          <w:r w:rsidRPr="00F90D1F">
            <w:rPr>
              <w:rStyle w:val="Sivunumero"/>
              <w:sz w:val="20"/>
              <w:lang w:bidi="uk-UA"/>
            </w:rPr>
            <w:fldChar w:fldCharType="end"/>
          </w:r>
          <w:r w:rsidRPr="00F90D1F">
            <w:rPr>
              <w:rStyle w:val="Sivunumero"/>
              <w:sz w:val="20"/>
              <w:lang w:bidi="uk-UA"/>
            </w:rPr>
            <w:t xml:space="preserve"> (</w:t>
          </w:r>
          <w:r w:rsidRPr="00F90D1F">
            <w:rPr>
              <w:rStyle w:val="Sivunumero"/>
              <w:sz w:val="20"/>
              <w:lang w:bidi="uk-UA"/>
            </w:rPr>
            <w:fldChar w:fldCharType="begin"/>
          </w:r>
          <w:r w:rsidRPr="00F90D1F">
            <w:rPr>
              <w:rStyle w:val="Sivunumero"/>
              <w:sz w:val="20"/>
              <w:lang w:bidi="uk-UA"/>
            </w:rPr>
            <w:instrText xml:space="preserve"> NUMPAGES </w:instrText>
          </w:r>
          <w:r w:rsidRPr="00F90D1F">
            <w:rPr>
              <w:rStyle w:val="Sivunumero"/>
              <w:sz w:val="20"/>
              <w:lang w:bidi="uk-UA"/>
            </w:rPr>
            <w:fldChar w:fldCharType="separate"/>
          </w:r>
          <w:r w:rsidR="00623D1C" w:rsidRPr="00F90D1F">
            <w:rPr>
              <w:rStyle w:val="Sivunumero"/>
              <w:noProof/>
              <w:sz w:val="20"/>
              <w:lang w:bidi="uk-UA"/>
            </w:rPr>
            <w:t>1</w:t>
          </w:r>
          <w:r w:rsidRPr="00F90D1F">
            <w:rPr>
              <w:rStyle w:val="Sivunumero"/>
              <w:sz w:val="20"/>
              <w:lang w:bidi="uk-UA"/>
            </w:rPr>
            <w:fldChar w:fldCharType="end"/>
          </w:r>
          <w:r w:rsidRPr="00F90D1F">
            <w:rPr>
              <w:rStyle w:val="Sivunumero"/>
              <w:sz w:val="20"/>
              <w:lang w:bidi="uk-UA"/>
            </w:rPr>
            <w:t>)</w:t>
          </w:r>
        </w:p>
      </w:tc>
    </w:tr>
    <w:tr w:rsidR="00065EF2" w:rsidRPr="00F90D1F" w14:paraId="727D588B" w14:textId="77777777">
      <w:trPr>
        <w:cantSplit/>
        <w:trHeight w:val="280"/>
      </w:trPr>
      <w:tc>
        <w:tcPr>
          <w:tcW w:w="5557" w:type="dxa"/>
          <w:vAlign w:val="bottom"/>
        </w:tcPr>
        <w:p w14:paraId="4DCA95F4" w14:textId="77777777" w:rsidR="00065EF2" w:rsidRPr="00F90D1F" w:rsidRDefault="00065EF2" w:rsidP="00F90D1F">
          <w:pPr>
            <w:pStyle w:val="Yltunniste"/>
            <w:rPr>
              <w:sz w:val="20"/>
            </w:rPr>
          </w:pPr>
          <w:r w:rsidRPr="00F90D1F">
            <w:rPr>
              <w:sz w:val="20"/>
              <w:lang w:bidi="uk-UA"/>
            </w:rPr>
            <w:t>Радіологія</w:t>
          </w:r>
        </w:p>
      </w:tc>
      <w:tc>
        <w:tcPr>
          <w:tcW w:w="1842" w:type="dxa"/>
          <w:vAlign w:val="bottom"/>
        </w:tcPr>
        <w:p w14:paraId="6FE7A0C2" w14:textId="77777777" w:rsidR="00065EF2" w:rsidRPr="00F90D1F" w:rsidRDefault="00065EF2" w:rsidP="00F90D1F">
          <w:pPr>
            <w:pStyle w:val="Yltunniste"/>
            <w:rPr>
              <w:sz w:val="20"/>
            </w:rPr>
          </w:pPr>
          <w:bookmarkStart w:id="2" w:name="zDocumentClass"/>
          <w:bookmarkEnd w:id="2"/>
        </w:p>
      </w:tc>
      <w:tc>
        <w:tcPr>
          <w:tcW w:w="2835" w:type="dxa"/>
          <w:gridSpan w:val="2"/>
          <w:vAlign w:val="bottom"/>
        </w:tcPr>
        <w:p w14:paraId="240F1AA1" w14:textId="77777777" w:rsidR="00065EF2" w:rsidRPr="00F90D1F" w:rsidRDefault="00065EF2" w:rsidP="00F90D1F">
          <w:pPr>
            <w:pStyle w:val="Sivunumeroyltunnisteessa"/>
            <w:ind w:left="1389"/>
            <w:rPr>
              <w:rStyle w:val="Sivunumero"/>
            </w:rPr>
          </w:pPr>
          <w:bookmarkStart w:id="3" w:name="zDocumentEnclosure"/>
          <w:bookmarkEnd w:id="3"/>
        </w:p>
      </w:tc>
    </w:tr>
  </w:tbl>
  <w:p w14:paraId="4DBAC654" w14:textId="77777777" w:rsidR="00065EF2" w:rsidRPr="00F90D1F" w:rsidRDefault="00065EF2" w:rsidP="00F90D1F">
    <w:pPr>
      <w:pStyle w:val="Yltunniste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E6C4B"/>
    <w:multiLevelType w:val="hybridMultilevel"/>
    <w:tmpl w:val="8EF6178E"/>
    <w:lvl w:ilvl="0" w:tplc="040B000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" w15:restartNumberingAfterBreak="0">
    <w:nsid w:val="109E30AD"/>
    <w:multiLevelType w:val="hybridMultilevel"/>
    <w:tmpl w:val="56D48972"/>
    <w:lvl w:ilvl="0" w:tplc="040B000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2" w15:restartNumberingAfterBreak="0">
    <w:nsid w:val="32261F39"/>
    <w:multiLevelType w:val="hybridMultilevel"/>
    <w:tmpl w:val="08BA1F10"/>
    <w:lvl w:ilvl="0" w:tplc="040B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383FC1"/>
    <w:multiLevelType w:val="hybridMultilevel"/>
    <w:tmpl w:val="991EC1F8"/>
    <w:lvl w:ilvl="0" w:tplc="040B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num w:numId="1" w16cid:durableId="201331182">
    <w:abstractNumId w:val="3"/>
  </w:num>
  <w:num w:numId="2" w16cid:durableId="3826887">
    <w:abstractNumId w:val="0"/>
  </w:num>
  <w:num w:numId="3" w16cid:durableId="1504583213">
    <w:abstractNumId w:val="1"/>
  </w:num>
  <w:num w:numId="4" w16cid:durableId="7650759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142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74D"/>
    <w:rsid w:val="00065EF2"/>
    <w:rsid w:val="0010444B"/>
    <w:rsid w:val="00107036"/>
    <w:rsid w:val="001476D9"/>
    <w:rsid w:val="0016074D"/>
    <w:rsid w:val="0037461F"/>
    <w:rsid w:val="003917B0"/>
    <w:rsid w:val="00412941"/>
    <w:rsid w:val="00452F3C"/>
    <w:rsid w:val="004C2273"/>
    <w:rsid w:val="0051497A"/>
    <w:rsid w:val="00534A3C"/>
    <w:rsid w:val="00623D1C"/>
    <w:rsid w:val="00680FE7"/>
    <w:rsid w:val="007556C0"/>
    <w:rsid w:val="00812809"/>
    <w:rsid w:val="008242BE"/>
    <w:rsid w:val="008D367B"/>
    <w:rsid w:val="009553B4"/>
    <w:rsid w:val="00966A65"/>
    <w:rsid w:val="009E403B"/>
    <w:rsid w:val="009F1A23"/>
    <w:rsid w:val="00C42C69"/>
    <w:rsid w:val="00C51FB4"/>
    <w:rsid w:val="00C67116"/>
    <w:rsid w:val="00C82721"/>
    <w:rsid w:val="00C8491A"/>
    <w:rsid w:val="00DA0AD5"/>
    <w:rsid w:val="00E31327"/>
    <w:rsid w:val="00F90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46C01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Pr>
      <w:rFonts w:ascii="Arial" w:hAnsi="Arial"/>
      <w:sz w:val="22"/>
    </w:rPr>
  </w:style>
  <w:style w:type="paragraph" w:styleId="Otsikko1">
    <w:name w:val="heading 1"/>
    <w:basedOn w:val="Normaali"/>
    <w:next w:val="Normaali"/>
    <w:link w:val="Otsikko1Char"/>
    <w:autoRedefine/>
    <w:qFormat/>
    <w:pPr>
      <w:keepNext/>
      <w:spacing w:before="240" w:after="240"/>
      <w:outlineLvl w:val="0"/>
    </w:pPr>
    <w:rPr>
      <w:b/>
      <w:sz w:val="28"/>
    </w:rPr>
  </w:style>
  <w:style w:type="paragraph" w:styleId="Otsikko2">
    <w:name w:val="heading 2"/>
    <w:basedOn w:val="Normaali"/>
    <w:next w:val="Normaali"/>
    <w:link w:val="Otsikko2Char"/>
    <w:autoRedefine/>
    <w:qFormat/>
    <w:pPr>
      <w:keepNext/>
      <w:spacing w:before="360" w:after="180"/>
      <w:outlineLvl w:val="1"/>
    </w:pPr>
    <w:rPr>
      <w:rFonts w:cs="Arial"/>
      <w:b/>
      <w:bCs/>
      <w:iCs/>
      <w:szCs w:val="28"/>
    </w:rPr>
  </w:style>
  <w:style w:type="paragraph" w:styleId="Otsikko3">
    <w:name w:val="heading 3"/>
    <w:basedOn w:val="Normaali"/>
    <w:next w:val="Normaali"/>
    <w:autoRedefine/>
    <w:qFormat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Alatunniste">
    <w:name w:val="footer"/>
    <w:basedOn w:val="Normaali"/>
  </w:style>
  <w:style w:type="paragraph" w:styleId="Yltunniste">
    <w:name w:val="header"/>
    <w:basedOn w:val="Normaali"/>
  </w:style>
  <w:style w:type="character" w:styleId="Sivunumero">
    <w:name w:val="page number"/>
    <w:basedOn w:val="Kappaleenoletusfontti"/>
  </w:style>
  <w:style w:type="character" w:customStyle="1" w:styleId="zContactInfo">
    <w:name w:val="zContact Info"/>
    <w:rPr>
      <w:rFonts w:ascii="Arial" w:hAnsi="Arial"/>
      <w:noProof/>
      <w:sz w:val="17"/>
      <w:lang w:val="fi-FI"/>
    </w:rPr>
  </w:style>
  <w:style w:type="paragraph" w:customStyle="1" w:styleId="Sivunumeroyltunnisteessa">
    <w:name w:val="Sivunumero ylätunnisteessa"/>
    <w:basedOn w:val="Normaali"/>
    <w:pPr>
      <w:tabs>
        <w:tab w:val="left" w:pos="9129"/>
      </w:tabs>
    </w:pPr>
  </w:style>
  <w:style w:type="table" w:styleId="TaulukkoRuudukko">
    <w:name w:val="Table Grid"/>
    <w:basedOn w:val="Normaalitaulukko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liteteksti">
    <w:name w:val="Balloon Text"/>
    <w:basedOn w:val="Normaali"/>
    <w:link w:val="SelitetekstiChar"/>
    <w:rsid w:val="0016074D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link w:val="Seliteteksti"/>
    <w:rsid w:val="0016074D"/>
    <w:rPr>
      <w:rFonts w:ascii="Tahoma" w:hAnsi="Tahoma" w:cs="Tahoma"/>
      <w:sz w:val="16"/>
      <w:szCs w:val="16"/>
    </w:rPr>
  </w:style>
  <w:style w:type="character" w:customStyle="1" w:styleId="Otsikko1Char">
    <w:name w:val="Otsikko 1 Char"/>
    <w:link w:val="Otsikko1"/>
    <w:rsid w:val="00DA0AD5"/>
    <w:rPr>
      <w:rFonts w:ascii="Arial" w:hAnsi="Arial"/>
      <w:b/>
      <w:sz w:val="28"/>
    </w:rPr>
  </w:style>
  <w:style w:type="character" w:customStyle="1" w:styleId="Otsikko2Char">
    <w:name w:val="Otsikko 2 Char"/>
    <w:link w:val="Otsikko2"/>
    <w:rsid w:val="00DA0AD5"/>
    <w:rPr>
      <w:rFonts w:ascii="Arial" w:hAnsi="Arial" w:cs="Arial"/>
      <w:b/>
      <w:bCs/>
      <w:iCs/>
      <w:sz w:val="22"/>
      <w:szCs w:val="28"/>
    </w:rPr>
  </w:style>
  <w:style w:type="paragraph" w:styleId="Luettelokappale">
    <w:name w:val="List Paragraph"/>
    <w:basedOn w:val="Normaali"/>
    <w:uiPriority w:val="34"/>
    <w:qFormat/>
    <w:rsid w:val="00623D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2316</Characters>
  <Application>Microsoft Office Word</Application>
  <DocSecurity>0</DocSecurity>
  <Lines>19</Lines>
  <Paragraphs>5</Paragraphs>
  <ScaleCrop>false</ScaleCrop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2023-02-01T08:41:00Z</dcterms:created>
  <dcterms:modified xsi:type="dcterms:W3CDTF">2023-02-01T08:41:00Z</dcterms:modified>
</cp:coreProperties>
</file>